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3B7A" w14:textId="03A8958B" w:rsidR="00B32A52" w:rsidRPr="00B2236D" w:rsidRDefault="00B30583" w:rsidP="00B32A52">
      <w:pPr>
        <w:rPr>
          <w:rFonts w:ascii="Fira Sans" w:hAnsi="Fira Sans"/>
          <w:b/>
          <w:bCs/>
          <w:sz w:val="24"/>
          <w:szCs w:val="24"/>
          <w:lang w:val="en-US"/>
        </w:rPr>
      </w:pPr>
      <w:r>
        <w:rPr>
          <w:rFonts w:ascii="Fira Sans" w:hAnsi="Fira Sans"/>
          <w:b/>
          <w:bCs/>
          <w:sz w:val="24"/>
          <w:szCs w:val="24"/>
          <w:lang w:val="en-US"/>
        </w:rPr>
        <w:t xml:space="preserve">Contribution of LTO Nederland </w:t>
      </w:r>
      <w:r w:rsidR="00A00A29">
        <w:rPr>
          <w:rFonts w:ascii="Fira Sans" w:hAnsi="Fira Sans"/>
          <w:b/>
          <w:bCs/>
          <w:sz w:val="24"/>
          <w:szCs w:val="24"/>
          <w:lang w:val="en-US"/>
        </w:rPr>
        <w:t xml:space="preserve">regarding the notification </w:t>
      </w:r>
      <w:r w:rsidR="00B32A52">
        <w:rPr>
          <w:rFonts w:ascii="Fira Sans" w:hAnsi="Fira Sans"/>
          <w:b/>
          <w:bCs/>
          <w:sz w:val="24"/>
          <w:szCs w:val="24"/>
          <w:lang w:val="en-US"/>
        </w:rPr>
        <w:t xml:space="preserve">for </w:t>
      </w:r>
      <w:r w:rsidR="006A3ADB">
        <w:rPr>
          <w:rFonts w:ascii="Fira Sans" w:hAnsi="Fira Sans"/>
          <w:b/>
          <w:bCs/>
          <w:sz w:val="24"/>
          <w:szCs w:val="24"/>
          <w:lang w:val="en-US"/>
        </w:rPr>
        <w:t xml:space="preserve">the </w:t>
      </w:r>
      <w:r w:rsidR="00B32A52" w:rsidRPr="00B32A52">
        <w:rPr>
          <w:rFonts w:ascii="Fira Sans" w:hAnsi="Fira Sans"/>
          <w:b/>
          <w:bCs/>
          <w:sz w:val="24"/>
          <w:szCs w:val="24"/>
          <w:lang w:val="en-US"/>
        </w:rPr>
        <w:t>Legislative proposal by</w:t>
      </w:r>
      <w:r w:rsidR="00B32A52">
        <w:rPr>
          <w:rFonts w:ascii="Fira Sans" w:hAnsi="Fira Sans"/>
          <w:b/>
          <w:bCs/>
          <w:sz w:val="24"/>
          <w:szCs w:val="24"/>
          <w:lang w:val="en-US"/>
        </w:rPr>
        <w:t xml:space="preserve"> </w:t>
      </w:r>
      <w:r w:rsidR="00B2236D">
        <w:rPr>
          <w:rFonts w:ascii="Fira Sans" w:hAnsi="Fira Sans"/>
          <w:b/>
          <w:bCs/>
          <w:sz w:val="24"/>
          <w:szCs w:val="24"/>
          <w:lang w:val="en-US"/>
        </w:rPr>
        <w:t>m</w:t>
      </w:r>
      <w:r w:rsidR="00B32A52" w:rsidRPr="00B32A52">
        <w:rPr>
          <w:rFonts w:ascii="Fira Sans" w:hAnsi="Fira Sans"/>
          <w:b/>
          <w:bCs/>
          <w:sz w:val="24"/>
          <w:szCs w:val="24"/>
          <w:lang w:val="en-US"/>
        </w:rPr>
        <w:t>embers Holman and Grinwis</w:t>
      </w:r>
      <w:r w:rsidR="00B2236D">
        <w:rPr>
          <w:rFonts w:ascii="Fira Sans" w:hAnsi="Fira Sans"/>
          <w:b/>
          <w:bCs/>
          <w:sz w:val="24"/>
          <w:szCs w:val="24"/>
          <w:lang w:val="en-US"/>
        </w:rPr>
        <w:t xml:space="preserve"> in the context of </w:t>
      </w:r>
      <w:r w:rsidR="00B2236D" w:rsidRPr="00B2236D">
        <w:rPr>
          <w:rFonts w:ascii="Fira Sans" w:hAnsi="Fira Sans"/>
          <w:b/>
          <w:bCs/>
          <w:sz w:val="24"/>
          <w:szCs w:val="24"/>
          <w:lang w:val="en-US"/>
        </w:rPr>
        <w:t>Directive (EU) 2015/1535</w:t>
      </w:r>
      <w:r w:rsidR="00B2236D">
        <w:rPr>
          <w:rFonts w:ascii="Fira Sans" w:hAnsi="Fira Sans"/>
          <w:b/>
          <w:bCs/>
          <w:sz w:val="24"/>
          <w:szCs w:val="24"/>
          <w:lang w:val="en-US"/>
        </w:rPr>
        <w:t xml:space="preserve">. (Notification Nr. </w:t>
      </w:r>
      <w:r w:rsidR="00A72A4E" w:rsidRPr="00A72A4E">
        <w:rPr>
          <w:rFonts w:ascii="Fira Sans" w:hAnsi="Fira Sans"/>
          <w:b/>
          <w:bCs/>
          <w:sz w:val="24"/>
          <w:szCs w:val="24"/>
          <w:lang w:val="en-US"/>
        </w:rPr>
        <w:t xml:space="preserve">2026/0068/NL) </w:t>
      </w:r>
    </w:p>
    <w:p w14:paraId="686F224A" w14:textId="25143AC3" w:rsidR="001024A4" w:rsidRDefault="00B30583" w:rsidP="001024A4">
      <w:pPr>
        <w:spacing w:line="276" w:lineRule="auto"/>
        <w:rPr>
          <w:rFonts w:ascii="Fira Sans" w:hAnsi="Fira Sans"/>
          <w:sz w:val="20"/>
          <w:szCs w:val="20"/>
          <w:lang w:val="en-US"/>
        </w:rPr>
      </w:pPr>
      <w:r w:rsidRPr="00B30583">
        <w:rPr>
          <w:rFonts w:ascii="Fira Sans" w:hAnsi="Fira Sans"/>
          <w:sz w:val="20"/>
          <w:szCs w:val="20"/>
          <w:lang w:val="en-US"/>
        </w:rPr>
        <w:t>LTO Nederland is Dutch Agric</w:t>
      </w:r>
      <w:r>
        <w:rPr>
          <w:rFonts w:ascii="Fira Sans" w:hAnsi="Fira Sans"/>
          <w:sz w:val="20"/>
          <w:szCs w:val="20"/>
          <w:lang w:val="en-US"/>
        </w:rPr>
        <w:t xml:space="preserve">ulture and Horticulture </w:t>
      </w:r>
      <w:r w:rsidR="003339EA">
        <w:rPr>
          <w:rFonts w:ascii="Fira Sans" w:hAnsi="Fira Sans"/>
          <w:sz w:val="20"/>
          <w:szCs w:val="20"/>
          <w:lang w:val="en-US"/>
        </w:rPr>
        <w:t>Organization, representing over 30.000 farmers and growers from the Netherlands. LTO has taken note of th</w:t>
      </w:r>
      <w:r w:rsidR="00871360">
        <w:rPr>
          <w:rFonts w:ascii="Fira Sans" w:hAnsi="Fira Sans"/>
          <w:sz w:val="20"/>
          <w:szCs w:val="20"/>
          <w:lang w:val="en-US"/>
        </w:rPr>
        <w:t xml:space="preserve">e </w:t>
      </w:r>
      <w:hyperlink r:id="rId8" w:history="1">
        <w:r w:rsidR="00871360" w:rsidRPr="00FE3E05">
          <w:rPr>
            <w:rStyle w:val="Hyperlink"/>
            <w:rFonts w:ascii="Fira Sans" w:hAnsi="Fira Sans"/>
            <w:sz w:val="20"/>
            <w:szCs w:val="20"/>
            <w:lang w:val="en-US"/>
          </w:rPr>
          <w:t>notification</w:t>
        </w:r>
      </w:hyperlink>
      <w:r w:rsidR="001024A4">
        <w:rPr>
          <w:rFonts w:ascii="Fira Sans" w:hAnsi="Fira Sans"/>
          <w:sz w:val="20"/>
          <w:szCs w:val="20"/>
          <w:lang w:val="en-US"/>
        </w:rPr>
        <w:t xml:space="preserve"> on the </w:t>
      </w:r>
      <w:r w:rsidR="001024A4" w:rsidRPr="001024A4">
        <w:rPr>
          <w:rFonts w:ascii="Fira Sans" w:hAnsi="Fira Sans"/>
          <w:sz w:val="20"/>
          <w:szCs w:val="20"/>
          <w:lang w:val="en-US"/>
        </w:rPr>
        <w:t xml:space="preserve">Legislative proposal by members Holman and Grinwis amending the </w:t>
      </w:r>
      <w:proofErr w:type="spellStart"/>
      <w:r w:rsidR="001024A4" w:rsidRPr="001024A4">
        <w:rPr>
          <w:rFonts w:ascii="Fira Sans" w:hAnsi="Fira Sans"/>
          <w:sz w:val="20"/>
          <w:szCs w:val="20"/>
          <w:lang w:val="en-US"/>
        </w:rPr>
        <w:t>Fertilisers</w:t>
      </w:r>
      <w:proofErr w:type="spellEnd"/>
      <w:r w:rsidR="001024A4" w:rsidRPr="001024A4">
        <w:rPr>
          <w:rFonts w:ascii="Fira Sans" w:hAnsi="Fira Sans"/>
          <w:sz w:val="20"/>
          <w:szCs w:val="20"/>
          <w:lang w:val="en-US"/>
        </w:rPr>
        <w:t xml:space="preserve"> Act (</w:t>
      </w:r>
      <w:proofErr w:type="spellStart"/>
      <w:r w:rsidR="001024A4" w:rsidRPr="001024A4">
        <w:rPr>
          <w:rFonts w:ascii="Fira Sans" w:hAnsi="Fira Sans"/>
          <w:sz w:val="20"/>
          <w:szCs w:val="20"/>
          <w:lang w:val="en-US"/>
        </w:rPr>
        <w:t>Meststoffenwet</w:t>
      </w:r>
      <w:proofErr w:type="spellEnd"/>
      <w:r w:rsidR="001024A4" w:rsidRPr="001024A4">
        <w:rPr>
          <w:rFonts w:ascii="Fira Sans" w:hAnsi="Fira Sans"/>
          <w:sz w:val="20"/>
          <w:szCs w:val="20"/>
          <w:lang w:val="en-US"/>
        </w:rPr>
        <w:t>), Environment and Planning Act (</w:t>
      </w:r>
      <w:proofErr w:type="spellStart"/>
      <w:r w:rsidR="001024A4" w:rsidRPr="001024A4">
        <w:rPr>
          <w:rFonts w:ascii="Fira Sans" w:hAnsi="Fira Sans"/>
          <w:sz w:val="20"/>
          <w:szCs w:val="20"/>
          <w:lang w:val="en-US"/>
        </w:rPr>
        <w:t>Omgevingswet</w:t>
      </w:r>
      <w:proofErr w:type="spellEnd"/>
      <w:r w:rsidR="001024A4" w:rsidRPr="001024A4">
        <w:rPr>
          <w:rFonts w:ascii="Fira Sans" w:hAnsi="Fira Sans"/>
          <w:sz w:val="20"/>
          <w:szCs w:val="20"/>
          <w:lang w:val="en-US"/>
        </w:rPr>
        <w:t xml:space="preserve">) and Economic Offences Act (Wet op de </w:t>
      </w:r>
      <w:proofErr w:type="spellStart"/>
      <w:r w:rsidR="001024A4" w:rsidRPr="001024A4">
        <w:rPr>
          <w:rFonts w:ascii="Fira Sans" w:hAnsi="Fira Sans"/>
          <w:sz w:val="20"/>
          <w:szCs w:val="20"/>
          <w:lang w:val="en-US"/>
        </w:rPr>
        <w:t>economische</w:t>
      </w:r>
      <w:proofErr w:type="spellEnd"/>
      <w:r w:rsidR="001024A4" w:rsidRPr="001024A4">
        <w:rPr>
          <w:rFonts w:ascii="Fira Sans" w:hAnsi="Fira Sans"/>
          <w:sz w:val="20"/>
          <w:szCs w:val="20"/>
          <w:lang w:val="en-US"/>
        </w:rPr>
        <w:t xml:space="preserve"> </w:t>
      </w:r>
      <w:proofErr w:type="spellStart"/>
      <w:r w:rsidR="001024A4" w:rsidRPr="001024A4">
        <w:rPr>
          <w:rFonts w:ascii="Fira Sans" w:hAnsi="Fira Sans"/>
          <w:sz w:val="20"/>
          <w:szCs w:val="20"/>
          <w:lang w:val="en-US"/>
        </w:rPr>
        <w:t>delicten</w:t>
      </w:r>
      <w:proofErr w:type="spellEnd"/>
      <w:r w:rsidR="001024A4" w:rsidRPr="001024A4">
        <w:rPr>
          <w:rFonts w:ascii="Fira Sans" w:hAnsi="Fira Sans"/>
          <w:sz w:val="20"/>
          <w:szCs w:val="20"/>
          <w:lang w:val="en-US"/>
        </w:rPr>
        <w:t xml:space="preserve"> – WED) in connection with the introduction of land-based dairy farming, the designation of social agricultural areas and responsible </w:t>
      </w:r>
      <w:proofErr w:type="spellStart"/>
      <w:r w:rsidR="001024A4" w:rsidRPr="001024A4">
        <w:rPr>
          <w:rFonts w:ascii="Fira Sans" w:hAnsi="Fira Sans"/>
          <w:sz w:val="20"/>
          <w:szCs w:val="20"/>
          <w:lang w:val="en-US"/>
        </w:rPr>
        <w:t>fertiliser</w:t>
      </w:r>
      <w:proofErr w:type="spellEnd"/>
      <w:r w:rsidR="001024A4" w:rsidRPr="001024A4">
        <w:rPr>
          <w:rFonts w:ascii="Fira Sans" w:hAnsi="Fira Sans"/>
          <w:sz w:val="20"/>
          <w:szCs w:val="20"/>
          <w:lang w:val="en-US"/>
        </w:rPr>
        <w:t xml:space="preserve"> disposal.</w:t>
      </w:r>
    </w:p>
    <w:p w14:paraId="1F6AA5FC" w14:textId="06E0BC9F" w:rsidR="00DD4E03" w:rsidRPr="00710898" w:rsidRDefault="001024A4" w:rsidP="001024A4">
      <w:pPr>
        <w:spacing w:line="276" w:lineRule="auto"/>
        <w:rPr>
          <w:rFonts w:ascii="Fira Sans" w:hAnsi="Fira Sans"/>
          <w:sz w:val="20"/>
          <w:szCs w:val="20"/>
          <w:lang w:val="en-US"/>
        </w:rPr>
      </w:pPr>
      <w:r>
        <w:rPr>
          <w:rFonts w:ascii="Fira Sans" w:hAnsi="Fira Sans"/>
          <w:sz w:val="20"/>
          <w:szCs w:val="20"/>
          <w:lang w:val="en-US"/>
        </w:rPr>
        <w:t>LTO</w:t>
      </w:r>
      <w:r w:rsidR="00FE3E05">
        <w:rPr>
          <w:rFonts w:ascii="Fira Sans" w:hAnsi="Fira Sans"/>
          <w:sz w:val="20"/>
          <w:szCs w:val="20"/>
          <w:lang w:val="en-US"/>
        </w:rPr>
        <w:t xml:space="preserve"> Nederland</w:t>
      </w:r>
      <w:r>
        <w:rPr>
          <w:rFonts w:ascii="Fira Sans" w:hAnsi="Fira Sans"/>
          <w:sz w:val="20"/>
          <w:szCs w:val="20"/>
          <w:lang w:val="en-US"/>
        </w:rPr>
        <w:t xml:space="preserve"> </w:t>
      </w:r>
      <w:r w:rsidR="0004035F">
        <w:rPr>
          <w:rFonts w:ascii="Fira Sans" w:hAnsi="Fira Sans"/>
          <w:sz w:val="20"/>
          <w:szCs w:val="20"/>
          <w:lang w:val="en-US"/>
        </w:rPr>
        <w:t>emphasizes</w:t>
      </w:r>
      <w:r w:rsidR="0099512D">
        <w:rPr>
          <w:rFonts w:ascii="Fira Sans" w:hAnsi="Fira Sans"/>
          <w:sz w:val="20"/>
          <w:szCs w:val="20"/>
          <w:lang w:val="en-US"/>
        </w:rPr>
        <w:t xml:space="preserve"> that the notification procedure </w:t>
      </w:r>
      <w:r w:rsidR="00E92A15">
        <w:rPr>
          <w:rFonts w:ascii="Fira Sans" w:hAnsi="Fira Sans"/>
          <w:sz w:val="20"/>
          <w:szCs w:val="20"/>
          <w:lang w:val="en-US"/>
        </w:rPr>
        <w:t xml:space="preserve">under </w:t>
      </w:r>
      <w:r w:rsidR="00E92A15" w:rsidRPr="00E92A15">
        <w:rPr>
          <w:rFonts w:ascii="Fira Sans" w:hAnsi="Fira Sans"/>
          <w:sz w:val="20"/>
          <w:szCs w:val="20"/>
          <w:lang w:val="en-US"/>
        </w:rPr>
        <w:t>Directive (EU) 2015/1535</w:t>
      </w:r>
      <w:r w:rsidR="00E92A15">
        <w:rPr>
          <w:rFonts w:ascii="Fira Sans" w:hAnsi="Fira Sans"/>
          <w:sz w:val="20"/>
          <w:szCs w:val="20"/>
          <w:lang w:val="en-US"/>
        </w:rPr>
        <w:t xml:space="preserve"> has the sole objective </w:t>
      </w:r>
      <w:r w:rsidR="00762C84">
        <w:rPr>
          <w:rFonts w:ascii="Fira Sans" w:hAnsi="Fira Sans"/>
          <w:sz w:val="20"/>
          <w:szCs w:val="20"/>
          <w:lang w:val="en-US"/>
        </w:rPr>
        <w:t xml:space="preserve">to </w:t>
      </w:r>
      <w:r w:rsidR="008843C7">
        <w:rPr>
          <w:rFonts w:ascii="Fira Sans" w:hAnsi="Fira Sans"/>
          <w:sz w:val="20"/>
          <w:szCs w:val="20"/>
          <w:lang w:val="en-US"/>
        </w:rPr>
        <w:t xml:space="preserve">prevent the creation of trade barriers and </w:t>
      </w:r>
      <w:r w:rsidR="00E56492">
        <w:rPr>
          <w:rFonts w:ascii="Fira Sans" w:hAnsi="Fira Sans"/>
          <w:sz w:val="20"/>
          <w:szCs w:val="20"/>
          <w:lang w:val="en-US"/>
        </w:rPr>
        <w:t xml:space="preserve">to ensure compatibility of national legislation with internal market principles. </w:t>
      </w:r>
      <w:r w:rsidR="007D37AF">
        <w:rPr>
          <w:rFonts w:ascii="Fira Sans" w:hAnsi="Fira Sans"/>
          <w:sz w:val="20"/>
          <w:szCs w:val="20"/>
          <w:lang w:val="en-US"/>
        </w:rPr>
        <w:t xml:space="preserve">Member States are obliged to inform the </w:t>
      </w:r>
      <w:r w:rsidR="001721DC">
        <w:rPr>
          <w:rFonts w:ascii="Fira Sans" w:hAnsi="Fira Sans"/>
          <w:sz w:val="20"/>
          <w:szCs w:val="20"/>
          <w:lang w:val="en-US"/>
        </w:rPr>
        <w:t xml:space="preserve">European </w:t>
      </w:r>
      <w:r w:rsidR="007D37AF">
        <w:rPr>
          <w:rFonts w:ascii="Fira Sans" w:hAnsi="Fira Sans"/>
          <w:sz w:val="20"/>
          <w:szCs w:val="20"/>
          <w:lang w:val="en-US"/>
        </w:rPr>
        <w:t xml:space="preserve">Commission of any draft technical regulation before its adoption </w:t>
      </w:r>
      <w:r w:rsidR="00701F2D">
        <w:rPr>
          <w:rFonts w:ascii="Fira Sans" w:hAnsi="Fira Sans"/>
          <w:sz w:val="20"/>
          <w:szCs w:val="20"/>
          <w:lang w:val="en-US"/>
        </w:rPr>
        <w:t>in line with this Directive</w:t>
      </w:r>
      <w:r w:rsidR="007D37AF">
        <w:rPr>
          <w:rFonts w:ascii="Fira Sans" w:hAnsi="Fira Sans"/>
          <w:sz w:val="20"/>
          <w:szCs w:val="20"/>
          <w:lang w:val="en-US"/>
        </w:rPr>
        <w:t xml:space="preserve">. </w:t>
      </w:r>
      <w:r w:rsidR="00710898" w:rsidRPr="00710898">
        <w:rPr>
          <w:rFonts w:ascii="Fira Sans" w:hAnsi="Fira Sans"/>
          <w:sz w:val="20"/>
          <w:szCs w:val="20"/>
          <w:lang w:val="en-US"/>
        </w:rPr>
        <w:t xml:space="preserve">We therefore consider that any assessment by the European Commission of this </w:t>
      </w:r>
      <w:r w:rsidR="006C31DB">
        <w:rPr>
          <w:rFonts w:ascii="Fira Sans" w:hAnsi="Fira Sans"/>
          <w:sz w:val="20"/>
          <w:szCs w:val="20"/>
          <w:lang w:val="en-US"/>
        </w:rPr>
        <w:t>legislative proposal</w:t>
      </w:r>
      <w:r w:rsidR="00710898" w:rsidRPr="00710898">
        <w:rPr>
          <w:rFonts w:ascii="Fira Sans" w:hAnsi="Fira Sans"/>
          <w:sz w:val="20"/>
          <w:szCs w:val="20"/>
          <w:lang w:val="en-US"/>
        </w:rPr>
        <w:t>, if undertaken</w:t>
      </w:r>
      <w:r w:rsidR="00710898">
        <w:rPr>
          <w:rFonts w:ascii="Fira Sans" w:hAnsi="Fira Sans"/>
          <w:sz w:val="20"/>
          <w:szCs w:val="20"/>
          <w:lang w:val="en-US"/>
        </w:rPr>
        <w:t xml:space="preserve"> at all</w:t>
      </w:r>
      <w:r w:rsidR="00710898" w:rsidRPr="00710898">
        <w:rPr>
          <w:rFonts w:ascii="Fira Sans" w:hAnsi="Fira Sans"/>
          <w:sz w:val="20"/>
          <w:szCs w:val="20"/>
          <w:lang w:val="en-US"/>
        </w:rPr>
        <w:t>, should be limited to the scope and purpose of Directive (EU) 2015/1535.</w:t>
      </w:r>
    </w:p>
    <w:p w14:paraId="45B6BCC3" w14:textId="543BAF11" w:rsidR="00A45CD8" w:rsidRPr="00A45CD8" w:rsidRDefault="00A45CD8" w:rsidP="00A45CD8">
      <w:pPr>
        <w:spacing w:line="276" w:lineRule="auto"/>
        <w:rPr>
          <w:rFonts w:ascii="Fira Sans" w:hAnsi="Fira Sans"/>
          <w:sz w:val="20"/>
          <w:szCs w:val="20"/>
          <w:lang w:val="en-US"/>
        </w:rPr>
      </w:pPr>
      <w:r w:rsidRPr="00A45CD8">
        <w:rPr>
          <w:rFonts w:ascii="Fira Sans" w:hAnsi="Fira Sans"/>
          <w:sz w:val="20"/>
          <w:szCs w:val="20"/>
          <w:lang w:val="en-US"/>
        </w:rPr>
        <w:t xml:space="preserve">However, </w:t>
      </w:r>
      <w:r>
        <w:rPr>
          <w:rFonts w:ascii="Fira Sans" w:hAnsi="Fira Sans"/>
          <w:sz w:val="20"/>
          <w:szCs w:val="20"/>
          <w:lang w:val="en-US"/>
        </w:rPr>
        <w:t>regardless of</w:t>
      </w:r>
      <w:r w:rsidRPr="00A45CD8">
        <w:rPr>
          <w:rFonts w:ascii="Fira Sans" w:hAnsi="Fira Sans"/>
          <w:sz w:val="20"/>
          <w:szCs w:val="20"/>
          <w:lang w:val="en-US"/>
        </w:rPr>
        <w:t xml:space="preserve"> the limited scope of the notification procedure, LTO Nederland considers the notification of this legislative proposal to be premature</w:t>
      </w:r>
      <w:r w:rsidR="00721CE6">
        <w:rPr>
          <w:rFonts w:ascii="Fira Sans" w:hAnsi="Fira Sans"/>
          <w:sz w:val="20"/>
          <w:szCs w:val="20"/>
          <w:lang w:val="en-US"/>
        </w:rPr>
        <w:t>.</w:t>
      </w:r>
      <w:r w:rsidR="00C9297C">
        <w:rPr>
          <w:rFonts w:ascii="Fira Sans" w:hAnsi="Fira Sans"/>
          <w:sz w:val="20"/>
          <w:szCs w:val="20"/>
          <w:lang w:val="en-US"/>
        </w:rPr>
        <w:t xml:space="preserve"> </w:t>
      </w:r>
      <w:r w:rsidRPr="00A45CD8">
        <w:rPr>
          <w:rFonts w:ascii="Fira Sans" w:hAnsi="Fira Sans"/>
          <w:sz w:val="20"/>
          <w:szCs w:val="20"/>
          <w:lang w:val="en-US"/>
        </w:rPr>
        <w:t xml:space="preserve">The proposal concerns an initiative </w:t>
      </w:r>
      <w:r w:rsidR="00DC5111">
        <w:rPr>
          <w:rFonts w:ascii="Fira Sans" w:hAnsi="Fira Sans"/>
          <w:sz w:val="20"/>
          <w:szCs w:val="20"/>
          <w:lang w:val="en-US"/>
        </w:rPr>
        <w:t>proposal</w:t>
      </w:r>
      <w:r w:rsidR="00DC5111" w:rsidRPr="00A45CD8">
        <w:rPr>
          <w:rFonts w:ascii="Fira Sans" w:hAnsi="Fira Sans"/>
          <w:sz w:val="20"/>
          <w:szCs w:val="20"/>
          <w:lang w:val="en-US"/>
        </w:rPr>
        <w:t xml:space="preserve"> </w:t>
      </w:r>
      <w:r w:rsidRPr="00A45CD8">
        <w:rPr>
          <w:rFonts w:ascii="Fira Sans" w:hAnsi="Fira Sans"/>
          <w:sz w:val="20"/>
          <w:szCs w:val="20"/>
          <w:lang w:val="en-US"/>
        </w:rPr>
        <w:t xml:space="preserve">introduced by individual members of the Dutch Parliament and does not necessarily reflect </w:t>
      </w:r>
      <w:r w:rsidR="008F62ED">
        <w:rPr>
          <w:rFonts w:ascii="Fira Sans" w:hAnsi="Fira Sans"/>
          <w:sz w:val="20"/>
          <w:szCs w:val="20"/>
          <w:lang w:val="en-US"/>
        </w:rPr>
        <w:t xml:space="preserve">a </w:t>
      </w:r>
      <w:r w:rsidRPr="00A45CD8">
        <w:rPr>
          <w:rFonts w:ascii="Fira Sans" w:hAnsi="Fira Sans"/>
          <w:sz w:val="20"/>
          <w:szCs w:val="20"/>
          <w:lang w:val="en-US"/>
        </w:rPr>
        <w:t>parliamentary majority. Moreover, there has been no clear indication that the legislative process will be pursued</w:t>
      </w:r>
      <w:r w:rsidR="008F62ED">
        <w:rPr>
          <w:rFonts w:ascii="Fira Sans" w:hAnsi="Fira Sans"/>
          <w:sz w:val="20"/>
          <w:szCs w:val="20"/>
          <w:lang w:val="en-US"/>
        </w:rPr>
        <w:t xml:space="preserve"> further</w:t>
      </w:r>
      <w:r w:rsidRPr="00A45CD8">
        <w:rPr>
          <w:rFonts w:ascii="Fira Sans" w:hAnsi="Fira Sans"/>
          <w:sz w:val="20"/>
          <w:szCs w:val="20"/>
          <w:lang w:val="en-US"/>
        </w:rPr>
        <w:t xml:space="preserve"> or completed. Since the introduction of the proposal, parliamentary elections have taken place and a new government has assumed office,</w:t>
      </w:r>
      <w:r w:rsidR="00C9297C">
        <w:rPr>
          <w:rFonts w:ascii="Fira Sans" w:hAnsi="Fira Sans"/>
          <w:sz w:val="20"/>
          <w:szCs w:val="20"/>
          <w:lang w:val="en-US"/>
        </w:rPr>
        <w:t xml:space="preserve"> </w:t>
      </w:r>
      <w:r w:rsidR="00C9297C" w:rsidRPr="00C9297C">
        <w:rPr>
          <w:rFonts w:ascii="Fira Sans" w:hAnsi="Fira Sans"/>
          <w:sz w:val="20"/>
          <w:szCs w:val="20"/>
          <w:lang w:val="en-US"/>
        </w:rPr>
        <w:t>after which no further substantive steps have been taken regarding this initiative proposal.</w:t>
      </w:r>
    </w:p>
    <w:p w14:paraId="04AC44E1" w14:textId="77777777" w:rsidR="00537C15" w:rsidRDefault="00A45CD8" w:rsidP="00A45CD8">
      <w:pPr>
        <w:spacing w:line="276" w:lineRule="auto"/>
        <w:rPr>
          <w:rFonts w:ascii="Fira Sans" w:hAnsi="Fira Sans"/>
          <w:sz w:val="20"/>
          <w:szCs w:val="20"/>
          <w:lang w:val="en-US"/>
        </w:rPr>
      </w:pPr>
      <w:r w:rsidRPr="00A45CD8">
        <w:rPr>
          <w:rFonts w:ascii="Fira Sans" w:hAnsi="Fira Sans"/>
          <w:sz w:val="20"/>
          <w:szCs w:val="20"/>
          <w:lang w:val="en-US"/>
        </w:rPr>
        <w:t xml:space="preserve">In the context of the national discussions surrounding this initiative proposal, LTO Nederland has already expressed far-reaching concerns during the national public consultation process. </w:t>
      </w:r>
    </w:p>
    <w:p w14:paraId="0E744C40" w14:textId="0E5C4413" w:rsidR="00A45CD8" w:rsidRPr="00537C15" w:rsidRDefault="00A45CD8" w:rsidP="00A45CD8">
      <w:pPr>
        <w:spacing w:line="276" w:lineRule="auto"/>
        <w:rPr>
          <w:rFonts w:ascii="Fira Sans" w:hAnsi="Fira Sans"/>
          <w:sz w:val="20"/>
          <w:szCs w:val="20"/>
          <w:lang w:val="en-US"/>
        </w:rPr>
      </w:pPr>
      <w:hyperlink r:id="rId9" w:history="1">
        <w:r w:rsidRPr="00537C15">
          <w:rPr>
            <w:rStyle w:val="Hyperlink"/>
            <w:rFonts w:ascii="Fira Sans" w:hAnsi="Fira Sans"/>
            <w:sz w:val="20"/>
            <w:szCs w:val="20"/>
            <w:lang w:val="en-US"/>
          </w:rPr>
          <w:t>These comments are available in Dutch here.</w:t>
        </w:r>
      </w:hyperlink>
    </w:p>
    <w:p w14:paraId="5454300D" w14:textId="77777777" w:rsidR="00145F89" w:rsidRPr="00B30583" w:rsidRDefault="00145F89" w:rsidP="00DF2867">
      <w:pPr>
        <w:rPr>
          <w:rFonts w:ascii="Fira Sans" w:hAnsi="Fira Sans"/>
          <w:b/>
          <w:bCs/>
          <w:lang w:val="en-US"/>
        </w:rPr>
      </w:pPr>
    </w:p>
    <w:sectPr w:rsidR="00145F89" w:rsidRPr="00B30583" w:rsidSect="000C13FD">
      <w:headerReference w:type="default" r:id="rId10"/>
      <w:pgSz w:w="11906" w:h="16838"/>
      <w:pgMar w:top="2836" w:right="1558" w:bottom="1417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2397" w14:textId="77777777" w:rsidR="008E22EA" w:rsidRDefault="008E22EA" w:rsidP="00B477B1">
      <w:pPr>
        <w:spacing w:after="0" w:line="240" w:lineRule="auto"/>
      </w:pPr>
      <w:r>
        <w:separator/>
      </w:r>
    </w:p>
  </w:endnote>
  <w:endnote w:type="continuationSeparator" w:id="0">
    <w:p w14:paraId="4A1FC9BA" w14:textId="77777777" w:rsidR="008E22EA" w:rsidRDefault="008E22EA" w:rsidP="00B477B1">
      <w:pPr>
        <w:spacing w:after="0" w:line="240" w:lineRule="auto"/>
      </w:pPr>
      <w:r>
        <w:continuationSeparator/>
      </w:r>
    </w:p>
  </w:endnote>
  <w:endnote w:type="continuationNotice" w:id="1">
    <w:p w14:paraId="270DA46E" w14:textId="77777777" w:rsidR="008E22EA" w:rsidRDefault="008E2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4C33" w14:textId="77777777" w:rsidR="008E22EA" w:rsidRDefault="008E22EA" w:rsidP="00B477B1">
      <w:pPr>
        <w:spacing w:after="0" w:line="240" w:lineRule="auto"/>
      </w:pPr>
      <w:r>
        <w:separator/>
      </w:r>
    </w:p>
  </w:footnote>
  <w:footnote w:type="continuationSeparator" w:id="0">
    <w:p w14:paraId="5D0C90B6" w14:textId="77777777" w:rsidR="008E22EA" w:rsidRDefault="008E22EA" w:rsidP="00B477B1">
      <w:pPr>
        <w:spacing w:after="0" w:line="240" w:lineRule="auto"/>
      </w:pPr>
      <w:r>
        <w:continuationSeparator/>
      </w:r>
    </w:p>
  </w:footnote>
  <w:footnote w:type="continuationNotice" w:id="1">
    <w:p w14:paraId="328EBB8C" w14:textId="77777777" w:rsidR="008E22EA" w:rsidRDefault="008E2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79CC" w14:textId="0D54B026" w:rsidR="00C16A1E" w:rsidRPr="00B477B1" w:rsidRDefault="00B477B1" w:rsidP="00C16A1E">
    <w:pPr>
      <w:pStyle w:val="Koptekst"/>
      <w:tabs>
        <w:tab w:val="clear" w:pos="9072"/>
      </w:tabs>
      <w:spacing w:line="276" w:lineRule="auto"/>
      <w:ind w:left="6804" w:right="-851"/>
      <w:rPr>
        <w:rFonts w:ascii="Fira Sans" w:hAnsi="Fira Sans" w:cstheme="minorHAnsi"/>
        <w:sz w:val="16"/>
        <w:szCs w:val="16"/>
      </w:rPr>
    </w:pPr>
    <w:r w:rsidRPr="00B477B1">
      <w:rPr>
        <w:rFonts w:ascii="Fira Sans" w:hAnsi="Fira Sans" w:cstheme="minorHAnsi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90E1780" wp14:editId="59C2CC0E">
          <wp:simplePos x="0" y="0"/>
          <wp:positionH relativeFrom="margin">
            <wp:posOffset>-44450</wp:posOffset>
          </wp:positionH>
          <wp:positionV relativeFrom="paragraph">
            <wp:posOffset>-26035</wp:posOffset>
          </wp:positionV>
          <wp:extent cx="838200" cy="1257300"/>
          <wp:effectExtent l="0" t="0" r="0" b="0"/>
          <wp:wrapNone/>
          <wp:docPr id="77" name="Afbeelding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2DC5B" w14:textId="3ED8BEF7" w:rsidR="00B477B1" w:rsidRPr="00B477B1" w:rsidRDefault="00B477B1" w:rsidP="000C13FD">
    <w:pPr>
      <w:pStyle w:val="Koptekst"/>
      <w:tabs>
        <w:tab w:val="clear" w:pos="9072"/>
      </w:tabs>
      <w:spacing w:line="276" w:lineRule="auto"/>
      <w:ind w:left="6804" w:right="-851"/>
      <w:rPr>
        <w:rFonts w:ascii="Fira Sans" w:hAnsi="Fira Sans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30AC"/>
    <w:multiLevelType w:val="hybridMultilevel"/>
    <w:tmpl w:val="C46291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710E8"/>
    <w:multiLevelType w:val="hybridMultilevel"/>
    <w:tmpl w:val="C4629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9481D"/>
    <w:multiLevelType w:val="hybridMultilevel"/>
    <w:tmpl w:val="91E0B5B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BD49CB"/>
    <w:multiLevelType w:val="hybridMultilevel"/>
    <w:tmpl w:val="44AE5488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8588153">
    <w:abstractNumId w:val="2"/>
  </w:num>
  <w:num w:numId="2" w16cid:durableId="874079968">
    <w:abstractNumId w:val="0"/>
  </w:num>
  <w:num w:numId="3" w16cid:durableId="1227763629">
    <w:abstractNumId w:val="1"/>
  </w:num>
  <w:num w:numId="4" w16cid:durableId="707490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071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B1"/>
    <w:rsid w:val="0004035F"/>
    <w:rsid w:val="00047DFA"/>
    <w:rsid w:val="00063AA8"/>
    <w:rsid w:val="00081B08"/>
    <w:rsid w:val="000868F2"/>
    <w:rsid w:val="000A2B34"/>
    <w:rsid w:val="000A41F5"/>
    <w:rsid w:val="000C13FD"/>
    <w:rsid w:val="000C1738"/>
    <w:rsid w:val="000E2689"/>
    <w:rsid w:val="000E4A0A"/>
    <w:rsid w:val="000F0838"/>
    <w:rsid w:val="000F2333"/>
    <w:rsid w:val="001024A4"/>
    <w:rsid w:val="00110FA1"/>
    <w:rsid w:val="00117308"/>
    <w:rsid w:val="00120518"/>
    <w:rsid w:val="0012093E"/>
    <w:rsid w:val="00142102"/>
    <w:rsid w:val="00145F89"/>
    <w:rsid w:val="00157A1D"/>
    <w:rsid w:val="001721DC"/>
    <w:rsid w:val="00182661"/>
    <w:rsid w:val="0019015E"/>
    <w:rsid w:val="001B1EDB"/>
    <w:rsid w:val="001E2C5E"/>
    <w:rsid w:val="001F20D2"/>
    <w:rsid w:val="0023182B"/>
    <w:rsid w:val="00235C91"/>
    <w:rsid w:val="00236E18"/>
    <w:rsid w:val="002C07AF"/>
    <w:rsid w:val="002D4FD0"/>
    <w:rsid w:val="003157FE"/>
    <w:rsid w:val="00327934"/>
    <w:rsid w:val="00332D5E"/>
    <w:rsid w:val="003339EA"/>
    <w:rsid w:val="00343AD8"/>
    <w:rsid w:val="0034684B"/>
    <w:rsid w:val="00360DED"/>
    <w:rsid w:val="00371935"/>
    <w:rsid w:val="003A0074"/>
    <w:rsid w:val="003B6CD3"/>
    <w:rsid w:val="00401482"/>
    <w:rsid w:val="00446CD9"/>
    <w:rsid w:val="00487FD1"/>
    <w:rsid w:val="004B3E84"/>
    <w:rsid w:val="004C43B5"/>
    <w:rsid w:val="004E3D78"/>
    <w:rsid w:val="004F37A2"/>
    <w:rsid w:val="00514521"/>
    <w:rsid w:val="00521B5C"/>
    <w:rsid w:val="00526A82"/>
    <w:rsid w:val="00537C15"/>
    <w:rsid w:val="00585147"/>
    <w:rsid w:val="00597E02"/>
    <w:rsid w:val="005C10AA"/>
    <w:rsid w:val="005D57D1"/>
    <w:rsid w:val="005E40E4"/>
    <w:rsid w:val="005F6D39"/>
    <w:rsid w:val="006229A1"/>
    <w:rsid w:val="00623EF5"/>
    <w:rsid w:val="00625934"/>
    <w:rsid w:val="0064550B"/>
    <w:rsid w:val="00657DB2"/>
    <w:rsid w:val="006607C8"/>
    <w:rsid w:val="006711DF"/>
    <w:rsid w:val="00673755"/>
    <w:rsid w:val="006A3ADB"/>
    <w:rsid w:val="006A5B22"/>
    <w:rsid w:val="006B0D05"/>
    <w:rsid w:val="006B55F0"/>
    <w:rsid w:val="006C1C71"/>
    <w:rsid w:val="006C31DB"/>
    <w:rsid w:val="006C4167"/>
    <w:rsid w:val="006D48D9"/>
    <w:rsid w:val="006F0CE1"/>
    <w:rsid w:val="00701F2D"/>
    <w:rsid w:val="00710898"/>
    <w:rsid w:val="00721CE6"/>
    <w:rsid w:val="00743BFD"/>
    <w:rsid w:val="007457DC"/>
    <w:rsid w:val="007520B1"/>
    <w:rsid w:val="00762C84"/>
    <w:rsid w:val="00762D7F"/>
    <w:rsid w:val="00785D45"/>
    <w:rsid w:val="007A40F7"/>
    <w:rsid w:val="007B59B8"/>
    <w:rsid w:val="007D37AF"/>
    <w:rsid w:val="00801362"/>
    <w:rsid w:val="00832731"/>
    <w:rsid w:val="0083674D"/>
    <w:rsid w:val="00846D51"/>
    <w:rsid w:val="00871360"/>
    <w:rsid w:val="008843C7"/>
    <w:rsid w:val="008A00FE"/>
    <w:rsid w:val="008A2954"/>
    <w:rsid w:val="008B44BF"/>
    <w:rsid w:val="008D0AEB"/>
    <w:rsid w:val="008D2DE7"/>
    <w:rsid w:val="008E22EA"/>
    <w:rsid w:val="008F62ED"/>
    <w:rsid w:val="00907128"/>
    <w:rsid w:val="0094719C"/>
    <w:rsid w:val="009757C5"/>
    <w:rsid w:val="0099512D"/>
    <w:rsid w:val="00997FBB"/>
    <w:rsid w:val="009D58F1"/>
    <w:rsid w:val="009E36D1"/>
    <w:rsid w:val="009E6D98"/>
    <w:rsid w:val="009F461F"/>
    <w:rsid w:val="00A00A29"/>
    <w:rsid w:val="00A12474"/>
    <w:rsid w:val="00A12AA3"/>
    <w:rsid w:val="00A37A3F"/>
    <w:rsid w:val="00A45CD8"/>
    <w:rsid w:val="00A46DE5"/>
    <w:rsid w:val="00A51652"/>
    <w:rsid w:val="00A56A62"/>
    <w:rsid w:val="00A62B73"/>
    <w:rsid w:val="00A72A4E"/>
    <w:rsid w:val="00A93EE4"/>
    <w:rsid w:val="00AB4289"/>
    <w:rsid w:val="00AC1C75"/>
    <w:rsid w:val="00AE1BD7"/>
    <w:rsid w:val="00AE7AF9"/>
    <w:rsid w:val="00B10118"/>
    <w:rsid w:val="00B2236D"/>
    <w:rsid w:val="00B30583"/>
    <w:rsid w:val="00B3084F"/>
    <w:rsid w:val="00B32A52"/>
    <w:rsid w:val="00B36912"/>
    <w:rsid w:val="00B3780D"/>
    <w:rsid w:val="00B477B1"/>
    <w:rsid w:val="00B61F71"/>
    <w:rsid w:val="00BA4592"/>
    <w:rsid w:val="00BC6803"/>
    <w:rsid w:val="00BE340C"/>
    <w:rsid w:val="00C03632"/>
    <w:rsid w:val="00C1475E"/>
    <w:rsid w:val="00C16A1E"/>
    <w:rsid w:val="00C421EB"/>
    <w:rsid w:val="00C440F4"/>
    <w:rsid w:val="00C44A70"/>
    <w:rsid w:val="00C86675"/>
    <w:rsid w:val="00C910EC"/>
    <w:rsid w:val="00C92289"/>
    <w:rsid w:val="00C9297C"/>
    <w:rsid w:val="00C93545"/>
    <w:rsid w:val="00CB042F"/>
    <w:rsid w:val="00CC458A"/>
    <w:rsid w:val="00CD110B"/>
    <w:rsid w:val="00D223D8"/>
    <w:rsid w:val="00D466B9"/>
    <w:rsid w:val="00D56589"/>
    <w:rsid w:val="00D645F4"/>
    <w:rsid w:val="00D67821"/>
    <w:rsid w:val="00D71192"/>
    <w:rsid w:val="00D71B90"/>
    <w:rsid w:val="00DB3E03"/>
    <w:rsid w:val="00DC5111"/>
    <w:rsid w:val="00DD4E03"/>
    <w:rsid w:val="00DD67AD"/>
    <w:rsid w:val="00DE7443"/>
    <w:rsid w:val="00DF2867"/>
    <w:rsid w:val="00E275A5"/>
    <w:rsid w:val="00E3262F"/>
    <w:rsid w:val="00E337BF"/>
    <w:rsid w:val="00E50717"/>
    <w:rsid w:val="00E56492"/>
    <w:rsid w:val="00E66C8F"/>
    <w:rsid w:val="00E77B73"/>
    <w:rsid w:val="00E83EC8"/>
    <w:rsid w:val="00E8795A"/>
    <w:rsid w:val="00E925DD"/>
    <w:rsid w:val="00E92A15"/>
    <w:rsid w:val="00ED18D4"/>
    <w:rsid w:val="00F03757"/>
    <w:rsid w:val="00F125DA"/>
    <w:rsid w:val="00F342C0"/>
    <w:rsid w:val="00F5078A"/>
    <w:rsid w:val="00F84067"/>
    <w:rsid w:val="00F86854"/>
    <w:rsid w:val="00FA7BA5"/>
    <w:rsid w:val="00FB0C50"/>
    <w:rsid w:val="00FC0763"/>
    <w:rsid w:val="00FC1FC4"/>
    <w:rsid w:val="00FE3E05"/>
    <w:rsid w:val="00FE6454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43C6A"/>
  <w15:chartTrackingRefBased/>
  <w15:docId w15:val="{8800DB82-07EE-49EA-8631-2EFFD66A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1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47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77B1"/>
  </w:style>
  <w:style w:type="paragraph" w:styleId="Voettekst">
    <w:name w:val="footer"/>
    <w:basedOn w:val="Standaard"/>
    <w:link w:val="VoettekstChar"/>
    <w:uiPriority w:val="99"/>
    <w:unhideWhenUsed/>
    <w:rsid w:val="00B47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77B1"/>
  </w:style>
  <w:style w:type="character" w:styleId="Hyperlink">
    <w:name w:val="Hyperlink"/>
    <w:basedOn w:val="Standaardalinea-lettertype"/>
    <w:uiPriority w:val="99"/>
    <w:unhideWhenUsed/>
    <w:rsid w:val="00B477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77B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607C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6C1C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26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26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26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26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2661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21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ical-regulation-information-system.ec.europa.eu/en/notification/276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to.nl/wp-content/uploads/2025/10/Reactie-LTO-op-Wetsvoorstel-grondgebondenheid-en-verantwoorde-mestafzet-versie-29-09-25-DE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730D-4CFF-4EF8-9C25-67670FF8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van Diepen</dc:creator>
  <cp:keywords/>
  <dc:description/>
  <cp:lastModifiedBy>Bjorn van den Boom</cp:lastModifiedBy>
  <cp:revision>2</cp:revision>
  <cp:lastPrinted>2025-04-23T06:27:00Z</cp:lastPrinted>
  <dcterms:created xsi:type="dcterms:W3CDTF">2026-05-13T10:56:00Z</dcterms:created>
  <dcterms:modified xsi:type="dcterms:W3CDTF">2026-05-13T10:56:00Z</dcterms:modified>
</cp:coreProperties>
</file>