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C287" w14:textId="1C46E076" w:rsidR="006B46E0" w:rsidRDefault="006B46E0" w:rsidP="005B0C1A">
      <w:pPr>
        <w:pStyle w:val="Geenafstand"/>
        <w:jc w:val="both"/>
      </w:pPr>
      <w:bookmarkStart w:id="0" w:name="_Hlk206021777"/>
      <w:r>
        <w:tab/>
      </w:r>
      <w:r>
        <w:tab/>
      </w:r>
      <w:r>
        <w:tab/>
      </w:r>
      <w:r>
        <w:tab/>
      </w:r>
      <w:r>
        <w:tab/>
      </w:r>
      <w:r>
        <w:tab/>
      </w:r>
      <w:r>
        <w:tab/>
      </w:r>
      <w:r>
        <w:tab/>
      </w:r>
      <w:r w:rsidR="003D6FE7" w:rsidRPr="00F50EB7">
        <w:rPr>
          <w:highlight w:val="yellow"/>
        </w:rPr>
        <w:t>[</w:t>
      </w:r>
      <w:proofErr w:type="gramStart"/>
      <w:r w:rsidR="003C18BD" w:rsidRPr="00F50EB7">
        <w:rPr>
          <w:highlight w:val="yellow"/>
        </w:rPr>
        <w:t>naam</w:t>
      </w:r>
      <w:proofErr w:type="gramEnd"/>
      <w:r w:rsidR="003C18BD" w:rsidRPr="00F50EB7">
        <w:rPr>
          <w:highlight w:val="yellow"/>
        </w:rPr>
        <w:t xml:space="preserve"> bezwaarmaker]</w:t>
      </w:r>
    </w:p>
    <w:p w14:paraId="39921467" w14:textId="324546D0" w:rsidR="006B46E0" w:rsidRDefault="006B46E0" w:rsidP="005B0C1A">
      <w:pPr>
        <w:pStyle w:val="Geenafstand"/>
        <w:jc w:val="both"/>
      </w:pPr>
      <w:r>
        <w:tab/>
      </w:r>
      <w:r>
        <w:tab/>
      </w:r>
      <w:r>
        <w:tab/>
      </w:r>
      <w:r>
        <w:tab/>
      </w:r>
      <w:r>
        <w:tab/>
      </w:r>
      <w:r>
        <w:tab/>
      </w:r>
      <w:r>
        <w:tab/>
      </w:r>
      <w:r>
        <w:tab/>
      </w:r>
      <w:r w:rsidR="003C18BD" w:rsidRPr="00F50EB7">
        <w:rPr>
          <w:highlight w:val="yellow"/>
        </w:rPr>
        <w:t>[</w:t>
      </w:r>
      <w:proofErr w:type="gramStart"/>
      <w:r w:rsidR="003C18BD" w:rsidRPr="00F50EB7">
        <w:rPr>
          <w:highlight w:val="yellow"/>
        </w:rPr>
        <w:t>adres</w:t>
      </w:r>
      <w:proofErr w:type="gramEnd"/>
      <w:r w:rsidR="003C18BD" w:rsidRPr="00F50EB7">
        <w:rPr>
          <w:highlight w:val="yellow"/>
        </w:rPr>
        <w:t xml:space="preserve"> bezwaarmaker]</w:t>
      </w:r>
    </w:p>
    <w:p w14:paraId="105103B2" w14:textId="1B368C6F" w:rsidR="006B46E0" w:rsidRDefault="006B46E0" w:rsidP="005B0C1A">
      <w:pPr>
        <w:pStyle w:val="Geenafstand"/>
        <w:jc w:val="both"/>
      </w:pPr>
      <w:r>
        <w:tab/>
      </w:r>
      <w:r>
        <w:tab/>
      </w:r>
      <w:r>
        <w:tab/>
      </w:r>
      <w:r>
        <w:tab/>
      </w:r>
      <w:r>
        <w:tab/>
      </w:r>
      <w:r>
        <w:tab/>
      </w:r>
      <w:r>
        <w:tab/>
      </w:r>
      <w:r>
        <w:tab/>
      </w:r>
    </w:p>
    <w:p w14:paraId="09132F3A" w14:textId="40D4170B" w:rsidR="006B46E0" w:rsidRDefault="006B46E0" w:rsidP="005B0C1A">
      <w:pPr>
        <w:pStyle w:val="Geenafstand"/>
        <w:jc w:val="both"/>
      </w:pPr>
      <w:r>
        <w:tab/>
      </w:r>
      <w:r>
        <w:tab/>
      </w:r>
      <w:r>
        <w:tab/>
      </w:r>
      <w:r>
        <w:tab/>
      </w:r>
      <w:r>
        <w:tab/>
      </w:r>
      <w:r>
        <w:tab/>
      </w:r>
      <w:r>
        <w:tab/>
      </w:r>
      <w:r>
        <w:tab/>
      </w:r>
    </w:p>
    <w:p w14:paraId="16D2B083" w14:textId="77777777" w:rsidR="006B46E0" w:rsidRDefault="006B46E0" w:rsidP="005B0C1A">
      <w:pPr>
        <w:pStyle w:val="Geenafstand"/>
        <w:jc w:val="both"/>
      </w:pPr>
    </w:p>
    <w:p w14:paraId="6CEF2C9E" w14:textId="77777777" w:rsidR="006B46E0" w:rsidRDefault="006B46E0" w:rsidP="006C6002">
      <w:pPr>
        <w:pStyle w:val="Geenafstand"/>
        <w:jc w:val="both"/>
      </w:pPr>
    </w:p>
    <w:p w14:paraId="18AC9EA0" w14:textId="315ABA7D" w:rsidR="006C6002" w:rsidRPr="006C6002" w:rsidRDefault="003C18BD" w:rsidP="006C6002">
      <w:pPr>
        <w:spacing w:after="0"/>
        <w:jc w:val="both"/>
      </w:pPr>
      <w:r>
        <w:t>Minister van LVVN</w:t>
      </w:r>
      <w:r w:rsidR="006C6002" w:rsidRPr="006C6002">
        <w:t xml:space="preserve"> </w:t>
      </w:r>
    </w:p>
    <w:p w14:paraId="1BE845E5" w14:textId="07B7E70D" w:rsidR="006C6002" w:rsidRPr="006C6002" w:rsidRDefault="00C22D7C" w:rsidP="006C6002">
      <w:pPr>
        <w:spacing w:after="0"/>
        <w:jc w:val="both"/>
      </w:pPr>
      <w:r>
        <w:t>Rijksdienst voor Ondernemend Nederland</w:t>
      </w:r>
    </w:p>
    <w:p w14:paraId="38CE251A" w14:textId="574BE30C" w:rsidR="006C6002" w:rsidRDefault="00C22D7C" w:rsidP="006C6002">
      <w:pPr>
        <w:spacing w:after="0"/>
        <w:jc w:val="both"/>
      </w:pPr>
      <w:r>
        <w:t>Postbus 40219</w:t>
      </w:r>
    </w:p>
    <w:p w14:paraId="0B1CF4DB" w14:textId="10035AB6" w:rsidR="00C22D7C" w:rsidRPr="006C6002" w:rsidRDefault="00C22D7C" w:rsidP="006C6002">
      <w:pPr>
        <w:spacing w:after="0"/>
        <w:jc w:val="both"/>
      </w:pPr>
      <w:r>
        <w:t>8004 DE Zwolle</w:t>
      </w:r>
    </w:p>
    <w:p w14:paraId="2645B8E2" w14:textId="77777777" w:rsidR="006C6002" w:rsidRPr="000C63F3" w:rsidRDefault="006C6002" w:rsidP="005B0C1A">
      <w:pPr>
        <w:jc w:val="both"/>
      </w:pPr>
    </w:p>
    <w:p w14:paraId="0673B49D" w14:textId="4D885ECA" w:rsidR="002033DF" w:rsidRPr="00EA0BBF" w:rsidRDefault="00C22D7C" w:rsidP="005B0C1A">
      <w:pPr>
        <w:ind w:left="3540" w:firstLine="708"/>
        <w:jc w:val="both"/>
      </w:pPr>
      <w:r w:rsidRPr="00F50EB7">
        <w:rPr>
          <w:highlight w:val="yellow"/>
        </w:rPr>
        <w:t>[</w:t>
      </w:r>
      <w:proofErr w:type="gramStart"/>
      <w:r w:rsidRPr="00F50EB7">
        <w:rPr>
          <w:highlight w:val="yellow"/>
        </w:rPr>
        <w:t>plaatsnaam</w:t>
      </w:r>
      <w:proofErr w:type="gramEnd"/>
      <w:r w:rsidRPr="00F50EB7">
        <w:rPr>
          <w:highlight w:val="yellow"/>
        </w:rPr>
        <w:t xml:space="preserve"> bezwaarmaker, datum]</w:t>
      </w:r>
    </w:p>
    <w:p w14:paraId="1FE4A542" w14:textId="52086C56" w:rsidR="002033DF" w:rsidRDefault="002033DF" w:rsidP="005B0C1A">
      <w:pPr>
        <w:ind w:left="3540" w:firstLine="708"/>
        <w:jc w:val="both"/>
      </w:pPr>
      <w:r>
        <w:t>Uw k</w:t>
      </w:r>
      <w:r w:rsidRPr="00EA0BBF">
        <w:t xml:space="preserve">enmerk: </w:t>
      </w:r>
      <w:proofErr w:type="spellStart"/>
      <w:r w:rsidR="006C6002">
        <w:t>Woo</w:t>
      </w:r>
      <w:proofErr w:type="spellEnd"/>
      <w:r w:rsidR="002615B4">
        <w:t xml:space="preserve">/2024/073 en </w:t>
      </w:r>
      <w:proofErr w:type="spellStart"/>
      <w:r w:rsidR="002615B4">
        <w:t>Woo</w:t>
      </w:r>
      <w:proofErr w:type="spellEnd"/>
      <w:r w:rsidR="002615B4">
        <w:t>/2024/</w:t>
      </w:r>
      <w:r w:rsidR="00F50EB7">
        <w:t>040</w:t>
      </w:r>
    </w:p>
    <w:p w14:paraId="2B5C485E" w14:textId="606E66B5" w:rsidR="006B46E0" w:rsidRPr="00EA0BBF" w:rsidRDefault="006B46E0" w:rsidP="005B0C1A">
      <w:pPr>
        <w:ind w:left="3540" w:firstLine="708"/>
        <w:jc w:val="both"/>
      </w:pPr>
      <w:r w:rsidRPr="00F50EB7">
        <w:rPr>
          <w:highlight w:val="yellow"/>
        </w:rPr>
        <w:t xml:space="preserve">Ons </w:t>
      </w:r>
      <w:r w:rsidR="00F21306" w:rsidRPr="00F50EB7">
        <w:rPr>
          <w:highlight w:val="yellow"/>
        </w:rPr>
        <w:t xml:space="preserve">kenmerk: </w:t>
      </w:r>
      <w:r w:rsidR="00F50EB7" w:rsidRPr="00F50EB7">
        <w:rPr>
          <w:highlight w:val="yellow"/>
        </w:rPr>
        <w:t>[kenmerk]</w:t>
      </w:r>
    </w:p>
    <w:p w14:paraId="21A48DA0" w14:textId="77777777" w:rsidR="002033DF" w:rsidRDefault="002033DF" w:rsidP="005B0C1A">
      <w:pPr>
        <w:jc w:val="both"/>
      </w:pPr>
    </w:p>
    <w:p w14:paraId="40D9F2E4" w14:textId="77777777" w:rsidR="002033DF" w:rsidRDefault="002033DF" w:rsidP="005B0C1A">
      <w:pPr>
        <w:jc w:val="both"/>
      </w:pPr>
    </w:p>
    <w:p w14:paraId="0447DE69" w14:textId="157EC57D" w:rsidR="002033DF" w:rsidRDefault="002033DF" w:rsidP="005B0C1A">
      <w:pPr>
        <w:jc w:val="both"/>
        <w:rPr>
          <w:b/>
          <w:bCs/>
        </w:rPr>
      </w:pPr>
      <w:r>
        <w:rPr>
          <w:b/>
          <w:bCs/>
        </w:rPr>
        <w:t xml:space="preserve">Onderwerp: </w:t>
      </w:r>
      <w:r w:rsidR="00E85D3A">
        <w:rPr>
          <w:b/>
          <w:bCs/>
        </w:rPr>
        <w:t xml:space="preserve">Bezwaar </w:t>
      </w:r>
      <w:r w:rsidR="00F50EB7">
        <w:rPr>
          <w:b/>
          <w:bCs/>
        </w:rPr>
        <w:t xml:space="preserve">tegen </w:t>
      </w:r>
      <w:proofErr w:type="spellStart"/>
      <w:r w:rsidR="00F50EB7">
        <w:rPr>
          <w:b/>
          <w:bCs/>
        </w:rPr>
        <w:t>Woo</w:t>
      </w:r>
      <w:proofErr w:type="spellEnd"/>
      <w:r w:rsidR="00F50EB7">
        <w:rPr>
          <w:b/>
          <w:bCs/>
        </w:rPr>
        <w:t>-beslui</w:t>
      </w:r>
      <w:r w:rsidR="00F50EB7" w:rsidRPr="00F50EB7">
        <w:rPr>
          <w:b/>
          <w:bCs/>
        </w:rPr>
        <w:t xml:space="preserve">ten </w:t>
      </w:r>
      <w:proofErr w:type="spellStart"/>
      <w:r w:rsidR="00F50EB7" w:rsidRPr="00F50EB7">
        <w:rPr>
          <w:b/>
          <w:bCs/>
        </w:rPr>
        <w:t>Woo</w:t>
      </w:r>
      <w:proofErr w:type="spellEnd"/>
      <w:r w:rsidR="00F50EB7" w:rsidRPr="00F50EB7">
        <w:rPr>
          <w:b/>
          <w:bCs/>
        </w:rPr>
        <w:t xml:space="preserve">/2024/073 en </w:t>
      </w:r>
      <w:proofErr w:type="spellStart"/>
      <w:r w:rsidR="00F50EB7" w:rsidRPr="00F50EB7">
        <w:rPr>
          <w:b/>
          <w:bCs/>
        </w:rPr>
        <w:t>Woo</w:t>
      </w:r>
      <w:proofErr w:type="spellEnd"/>
      <w:r w:rsidR="00F50EB7" w:rsidRPr="00F50EB7">
        <w:rPr>
          <w:b/>
          <w:bCs/>
        </w:rPr>
        <w:t>/2024/040</w:t>
      </w:r>
    </w:p>
    <w:p w14:paraId="542C23DB" w14:textId="77777777" w:rsidR="002033DF" w:rsidRDefault="002033DF" w:rsidP="005B0C1A">
      <w:pPr>
        <w:jc w:val="both"/>
      </w:pPr>
    </w:p>
    <w:p w14:paraId="3C686DDD" w14:textId="107AD83E" w:rsidR="002033DF" w:rsidRDefault="00C61D2C" w:rsidP="005B0C1A">
      <w:pPr>
        <w:jc w:val="both"/>
      </w:pPr>
      <w:r>
        <w:t xml:space="preserve">Geachte </w:t>
      </w:r>
      <w:r w:rsidR="00F50EB7">
        <w:t>minister,</w:t>
      </w:r>
    </w:p>
    <w:p w14:paraId="28B10E97" w14:textId="7CB2E54F" w:rsidR="0000202B" w:rsidRDefault="00D676FD" w:rsidP="00F50EB7">
      <w:pPr>
        <w:jc w:val="both"/>
      </w:pPr>
      <w:bookmarkStart w:id="1" w:name="_Hlk206021866"/>
      <w:bookmarkEnd w:id="0"/>
      <w:r>
        <w:t xml:space="preserve">Middels deze correspondentie </w:t>
      </w:r>
      <w:r w:rsidR="00FD2487">
        <w:t>ga</w:t>
      </w:r>
      <w:r>
        <w:t xml:space="preserve"> ik</w:t>
      </w:r>
      <w:bookmarkStart w:id="2" w:name="_Hlk187586341"/>
      <w:r w:rsidR="0000202B">
        <w:t xml:space="preserve"> namens </w:t>
      </w:r>
      <w:r w:rsidR="0000202B" w:rsidRPr="00120321">
        <w:rPr>
          <w:highlight w:val="yellow"/>
        </w:rPr>
        <w:t>[naam bedrijf, adres bedrijf]</w:t>
      </w:r>
      <w:r w:rsidR="0000202B">
        <w:t xml:space="preserve"> in bezwaar tegen de besluiten met kenmerken </w:t>
      </w:r>
      <w:proofErr w:type="spellStart"/>
      <w:r w:rsidR="0000202B">
        <w:t>Woo</w:t>
      </w:r>
      <w:proofErr w:type="spellEnd"/>
      <w:r w:rsidR="0000202B">
        <w:t xml:space="preserve">/2024/073 en </w:t>
      </w:r>
      <w:proofErr w:type="spellStart"/>
      <w:r w:rsidR="0000202B">
        <w:t>Woo</w:t>
      </w:r>
      <w:proofErr w:type="spellEnd"/>
      <w:r w:rsidR="0000202B">
        <w:t xml:space="preserve">/2024/040. </w:t>
      </w:r>
    </w:p>
    <w:p w14:paraId="4AF9AB80" w14:textId="2B896FA7" w:rsidR="00D676FD" w:rsidRDefault="00D676FD" w:rsidP="00F50EB7">
      <w:pPr>
        <w:jc w:val="both"/>
        <w:rPr>
          <w:b/>
          <w:bCs/>
        </w:rPr>
      </w:pPr>
      <w:r>
        <w:rPr>
          <w:b/>
          <w:bCs/>
        </w:rPr>
        <w:t>Introductie</w:t>
      </w:r>
    </w:p>
    <w:bookmarkEnd w:id="2"/>
    <w:p w14:paraId="295579E3" w14:textId="6D518DAD" w:rsidR="00E80A94" w:rsidRDefault="00D676FD" w:rsidP="006D02E3">
      <w:pPr>
        <w:pStyle w:val="Lijstalinea"/>
        <w:spacing w:after="0" w:line="240" w:lineRule="auto"/>
        <w:ind w:left="709"/>
        <w:jc w:val="both"/>
      </w:pPr>
      <w:r>
        <w:t xml:space="preserve">Op </w:t>
      </w:r>
      <w:r w:rsidR="0000202B">
        <w:t xml:space="preserve">20 </w:t>
      </w:r>
      <w:r w:rsidR="006D02E3">
        <w:t xml:space="preserve">januari 2026 heeft u besloten om gevoelige informatie over ons bedrijf openbaar te maken. Via deze brief ga ik </w:t>
      </w:r>
      <w:r w:rsidR="00093619">
        <w:t>tegen deze besluiten</w:t>
      </w:r>
      <w:r w:rsidR="006D02E3">
        <w:t xml:space="preserve"> in bezwaar. U </w:t>
      </w:r>
      <w:r>
        <w:t xml:space="preserve">hanteert </w:t>
      </w:r>
      <w:r w:rsidR="00C73621">
        <w:t>in het besluit</w:t>
      </w:r>
      <w:r>
        <w:t xml:space="preserve"> een onjuist afwegingskader. </w:t>
      </w:r>
    </w:p>
    <w:p w14:paraId="40A72508" w14:textId="77777777" w:rsidR="00E80A94" w:rsidRDefault="00E80A94" w:rsidP="005B0C1A">
      <w:pPr>
        <w:pStyle w:val="Lijstalinea"/>
        <w:spacing w:after="0" w:line="240" w:lineRule="auto"/>
        <w:ind w:left="709"/>
        <w:jc w:val="both"/>
      </w:pPr>
    </w:p>
    <w:p w14:paraId="73E4D6A8" w14:textId="22AC09A7" w:rsidR="00E80C6E" w:rsidRDefault="00E80C6E" w:rsidP="00E80C6E">
      <w:pPr>
        <w:pStyle w:val="Lijstalinea"/>
        <w:numPr>
          <w:ilvl w:val="0"/>
          <w:numId w:val="1"/>
        </w:numPr>
        <w:spacing w:after="0" w:line="240" w:lineRule="auto"/>
        <w:ind w:left="709" w:hanging="709"/>
        <w:jc w:val="both"/>
        <w:rPr>
          <w:b/>
          <w:bCs/>
        </w:rPr>
      </w:pPr>
      <w:bookmarkStart w:id="3" w:name="_Hlk187610941"/>
      <w:r>
        <w:rPr>
          <w:b/>
          <w:bCs/>
        </w:rPr>
        <w:t>Anoniem procederen</w:t>
      </w:r>
    </w:p>
    <w:p w14:paraId="5B53AF42" w14:textId="77777777" w:rsidR="00E80C6E" w:rsidRDefault="00E80C6E" w:rsidP="00E80C6E">
      <w:pPr>
        <w:pStyle w:val="Lijstalinea"/>
        <w:spacing w:after="0" w:line="240" w:lineRule="auto"/>
        <w:ind w:left="709"/>
        <w:jc w:val="both"/>
        <w:rPr>
          <w:b/>
          <w:bCs/>
        </w:rPr>
      </w:pPr>
    </w:p>
    <w:p w14:paraId="067F4492" w14:textId="15A305B4" w:rsidR="00E80C6E" w:rsidRPr="00E80C6E" w:rsidRDefault="00E80C6E" w:rsidP="00E80C6E">
      <w:pPr>
        <w:pStyle w:val="Lijstalinea"/>
        <w:numPr>
          <w:ilvl w:val="1"/>
          <w:numId w:val="1"/>
        </w:numPr>
        <w:spacing w:after="0" w:line="240" w:lineRule="auto"/>
        <w:ind w:left="709" w:hanging="709"/>
        <w:jc w:val="both"/>
      </w:pPr>
      <w:r w:rsidRPr="00E80C6E">
        <w:t xml:space="preserve">Opgemerkt wordt dat </w:t>
      </w:r>
      <w:r w:rsidR="006C6002">
        <w:t xml:space="preserve">bezwaarden graag anoniem willen blijven. Ik verzoek u daar rekening mee te houden bij het horen en het doorsturen van stukken aan derde-belanghebbenden. </w:t>
      </w:r>
    </w:p>
    <w:p w14:paraId="3D4C2E8B" w14:textId="77777777" w:rsidR="00E80C6E" w:rsidRDefault="00E80C6E" w:rsidP="00E80C6E">
      <w:pPr>
        <w:pStyle w:val="Lijstalinea"/>
        <w:spacing w:after="0" w:line="240" w:lineRule="auto"/>
        <w:ind w:left="709"/>
        <w:jc w:val="both"/>
        <w:rPr>
          <w:b/>
          <w:bCs/>
        </w:rPr>
      </w:pPr>
    </w:p>
    <w:bookmarkEnd w:id="1"/>
    <w:bookmarkEnd w:id="3"/>
    <w:p w14:paraId="7A588C9A" w14:textId="77777777" w:rsidR="00D9720D" w:rsidRDefault="00D9720D" w:rsidP="00D9720D">
      <w:pPr>
        <w:pStyle w:val="Lijstalinea"/>
        <w:numPr>
          <w:ilvl w:val="0"/>
          <w:numId w:val="1"/>
        </w:numPr>
        <w:spacing w:after="0" w:line="240" w:lineRule="auto"/>
        <w:ind w:left="709" w:hanging="709"/>
        <w:jc w:val="both"/>
        <w:rPr>
          <w:b/>
          <w:bCs/>
        </w:rPr>
      </w:pPr>
      <w:r>
        <w:rPr>
          <w:b/>
          <w:bCs/>
        </w:rPr>
        <w:t>Emissiegegevens</w:t>
      </w:r>
    </w:p>
    <w:p w14:paraId="3216ED14" w14:textId="77777777" w:rsidR="00D9720D" w:rsidRDefault="00D9720D" w:rsidP="00D9720D">
      <w:pPr>
        <w:pStyle w:val="Lijstalinea"/>
        <w:spacing w:after="0" w:line="240" w:lineRule="auto"/>
        <w:ind w:left="709"/>
        <w:jc w:val="both"/>
        <w:rPr>
          <w:b/>
          <w:bCs/>
        </w:rPr>
      </w:pPr>
    </w:p>
    <w:p w14:paraId="3491D8EE" w14:textId="673A745E" w:rsidR="00D9720D" w:rsidRPr="00196067" w:rsidRDefault="00D9720D" w:rsidP="00D9720D">
      <w:pPr>
        <w:pStyle w:val="Lijstalinea"/>
        <w:numPr>
          <w:ilvl w:val="1"/>
          <w:numId w:val="1"/>
        </w:numPr>
        <w:spacing w:after="0" w:line="240" w:lineRule="auto"/>
        <w:ind w:left="709" w:hanging="709"/>
        <w:jc w:val="both"/>
        <w:rPr>
          <w:b/>
          <w:bCs/>
        </w:rPr>
      </w:pPr>
      <w:r>
        <w:t xml:space="preserve">U heeft ten onrechte overwogen dat er geen uitzonderingsgronden toegepast kunnen worden door u. U hanteert in dit kader een onjuiste definitie van het begrip emissiegegevens. Hieronder wordt hier voor verschillende gegevenstypen die zijn opgevraagd uiteengezet waarom het geen emissiegegevens zijn. </w:t>
      </w:r>
    </w:p>
    <w:p w14:paraId="5A3BF2EF" w14:textId="77777777" w:rsidR="00D9720D" w:rsidRDefault="00D9720D" w:rsidP="00D9720D">
      <w:pPr>
        <w:pStyle w:val="Lijstalinea"/>
        <w:spacing w:after="0" w:line="240" w:lineRule="auto"/>
        <w:ind w:left="709"/>
        <w:jc w:val="both"/>
      </w:pPr>
    </w:p>
    <w:p w14:paraId="48E397CF" w14:textId="17D828E6" w:rsidR="00D9720D" w:rsidRDefault="00D9720D" w:rsidP="00D9720D">
      <w:pPr>
        <w:pStyle w:val="Lijstalinea"/>
        <w:spacing w:after="0" w:line="240" w:lineRule="auto"/>
        <w:ind w:left="709"/>
        <w:jc w:val="both"/>
      </w:pPr>
      <w:r>
        <w:t>Dat per gegevens</w:t>
      </w:r>
      <w:r w:rsidR="00F009D4">
        <w:t>type</w:t>
      </w:r>
      <w:r>
        <w:t xml:space="preserve"> moet worden beoordeeld of een gegeven emissiegegevens bevat volgt ook uit te de jurisprudentie van het Hof van Justitie (</w:t>
      </w:r>
      <w:proofErr w:type="spellStart"/>
      <w:r>
        <w:t>HvJ</w:t>
      </w:r>
      <w:proofErr w:type="spellEnd"/>
      <w:r>
        <w:t xml:space="preserve"> EU 23 november 2016, </w:t>
      </w:r>
      <w:r w:rsidRPr="00DB28C5">
        <w:t>ECLI:EU:C:2016:890</w:t>
      </w:r>
      <w:r>
        <w:t>):</w:t>
      </w:r>
    </w:p>
    <w:p w14:paraId="5E43C9FF" w14:textId="77777777" w:rsidR="00D9720D" w:rsidRDefault="00D9720D" w:rsidP="00D9720D">
      <w:pPr>
        <w:pStyle w:val="Lijstalinea"/>
        <w:spacing w:after="0" w:line="240" w:lineRule="auto"/>
        <w:ind w:left="709"/>
        <w:jc w:val="both"/>
      </w:pPr>
    </w:p>
    <w:p w14:paraId="69A927C2" w14:textId="77777777" w:rsidR="00D9720D" w:rsidRDefault="00D9720D" w:rsidP="00D9720D">
      <w:pPr>
        <w:pStyle w:val="Lijstalinea"/>
        <w:pBdr>
          <w:left w:val="single" w:sz="4" w:space="4" w:color="auto"/>
        </w:pBdr>
        <w:spacing w:after="0" w:line="240" w:lineRule="auto"/>
        <w:ind w:left="1416"/>
        <w:rPr>
          <w:i/>
          <w:iCs/>
        </w:rPr>
      </w:pPr>
      <w:r>
        <w:t>“</w:t>
      </w:r>
      <w:bookmarkStart w:id="4" w:name="point104"/>
      <w:r w:rsidRPr="00DB28C5">
        <w:rPr>
          <w:i/>
          <w:iCs/>
        </w:rPr>
        <w:t>104</w:t>
      </w:r>
      <w:bookmarkEnd w:id="4"/>
      <w:r w:rsidRPr="00DB28C5">
        <w:rPr>
          <w:i/>
          <w:iCs/>
        </w:rPr>
        <w:t xml:space="preserve">    Met zijn achtste vraag wenst de verwijzende rechter in essentie te vernemen of artikel 4, lid 2, tweede alinea, van richtlijn 2003/4 aldus moet worden uitgelegd dat in </w:t>
      </w:r>
      <w:r w:rsidRPr="00DB28C5">
        <w:rPr>
          <w:i/>
          <w:iCs/>
        </w:rPr>
        <w:lastRenderedPageBreak/>
        <w:t>geval van een verzoek om toegang tot informatie over emissies in het milieu, de volledige informatiebron openbaar moet worden gemaakt of slechts de relevante gegevens die daaruit kunnen worden gedestilleerd.</w:t>
      </w:r>
    </w:p>
    <w:p w14:paraId="19671B70" w14:textId="77777777" w:rsidR="00D9720D" w:rsidRPr="00DB28C5" w:rsidRDefault="00D9720D" w:rsidP="00D9720D">
      <w:pPr>
        <w:pStyle w:val="Lijstalinea"/>
        <w:pBdr>
          <w:left w:val="single" w:sz="4" w:space="4" w:color="auto"/>
        </w:pBdr>
        <w:spacing w:after="0" w:line="240" w:lineRule="auto"/>
        <w:ind w:left="1416"/>
        <w:rPr>
          <w:i/>
          <w:iCs/>
        </w:rPr>
      </w:pPr>
    </w:p>
    <w:p w14:paraId="239468FD" w14:textId="77777777" w:rsidR="00D9720D" w:rsidRDefault="00D9720D" w:rsidP="00D9720D">
      <w:pPr>
        <w:pStyle w:val="Lijstalinea"/>
        <w:pBdr>
          <w:left w:val="single" w:sz="4" w:space="4" w:color="auto"/>
        </w:pBdr>
        <w:spacing w:after="0"/>
        <w:ind w:left="1416"/>
        <w:rPr>
          <w:i/>
          <w:iCs/>
        </w:rPr>
      </w:pPr>
      <w:bookmarkStart w:id="5" w:name="point105"/>
      <w:r w:rsidRPr="00DB28C5">
        <w:rPr>
          <w:i/>
          <w:iCs/>
        </w:rPr>
        <w:t>105</w:t>
      </w:r>
      <w:bookmarkEnd w:id="5"/>
      <w:r w:rsidRPr="00DB28C5">
        <w:rPr>
          <w:i/>
          <w:iCs/>
        </w:rPr>
        <w:t xml:space="preserve">    Uit die bepaling volgt dat de gronden bedoeld in artikel 4, lid 2, eerste alinea, onder a), d), f), g) en h), van richtlijn 2003/4 niet kunnen worden ingeroepen om een verzoek om toegang tot milieu-informatie te weigeren, vooropgesteld dat dit verzoek betrekking heeft op informatie over emissies in het milieu. </w:t>
      </w:r>
      <w:proofErr w:type="gramStart"/>
      <w:r w:rsidRPr="00DB28C5">
        <w:rPr>
          <w:i/>
          <w:iCs/>
        </w:rPr>
        <w:t>Indien</w:t>
      </w:r>
      <w:proofErr w:type="gramEnd"/>
      <w:r w:rsidRPr="00DB28C5">
        <w:rPr>
          <w:i/>
          <w:iCs/>
        </w:rPr>
        <w:t xml:space="preserve"> de openbaarmaking van de gevraagde informatie afbreuk zou doen aan één van de belangen waar die bepaling op ziet, moeten in die omstandigheden alleen de relevante gegevens die uit de informatiebron over emissies in het milieu kunnen worden gedestilleerd, openbaar worden gemaakt, voor zover die gegevens van andere informatie in die bron kunnen worden gescheiden. Het staat aan de verwijzende rechter om na te gaan of dit het geval is.</w:t>
      </w:r>
    </w:p>
    <w:p w14:paraId="0F8C6876" w14:textId="77777777" w:rsidR="00D9720D" w:rsidRPr="00DB28C5" w:rsidRDefault="00D9720D" w:rsidP="00D9720D">
      <w:pPr>
        <w:pStyle w:val="Lijstalinea"/>
        <w:pBdr>
          <w:left w:val="single" w:sz="4" w:space="4" w:color="auto"/>
        </w:pBdr>
        <w:spacing w:after="0"/>
        <w:ind w:left="1416"/>
        <w:rPr>
          <w:i/>
          <w:iCs/>
        </w:rPr>
      </w:pPr>
    </w:p>
    <w:p w14:paraId="18903356" w14:textId="77777777" w:rsidR="00D9720D" w:rsidRPr="00DB28C5" w:rsidRDefault="00D9720D" w:rsidP="00D9720D">
      <w:pPr>
        <w:pStyle w:val="Lijstalinea"/>
        <w:pBdr>
          <w:left w:val="single" w:sz="4" w:space="4" w:color="auto"/>
        </w:pBdr>
        <w:spacing w:after="0"/>
        <w:ind w:left="1416"/>
      </w:pPr>
      <w:bookmarkStart w:id="6" w:name="point106"/>
      <w:r w:rsidRPr="00DB28C5">
        <w:rPr>
          <w:i/>
          <w:iCs/>
        </w:rPr>
        <w:t>106</w:t>
      </w:r>
      <w:bookmarkEnd w:id="6"/>
      <w:r w:rsidRPr="00DB28C5">
        <w:rPr>
          <w:i/>
          <w:iCs/>
        </w:rPr>
        <w:t>    Gelet op een en ander moet op de achtste vraag worden geantwoord dat artikel 4, lid 2, tweede alinea, van richtlijn 2003/4 aldus moet worden uitgelegd dat in geval van een verzoek om toegang tot informatie over emissies in het milieu waarvan de openbaarmaking afbreuk zou doen aan één van de belangen waarop artikel 4, lid 2, eerste alinea, onder a), d), f), g) en h), van die richtlijn ziet, alleen de relevante gegevens die uit de informatiebron over emissies in het milieu kunnen worden gedestilleerd, openbaar moeten worden gemaakt, voor zover die gegevens van andere informatie in die bron kunnen worden gescheiden. Het staat aan de verwijzende rechter om na te gaan of dit het geval is.</w:t>
      </w:r>
      <w:r>
        <w:t>”</w:t>
      </w:r>
    </w:p>
    <w:p w14:paraId="6F0E341E" w14:textId="77777777" w:rsidR="00D9720D" w:rsidRDefault="00D9720D" w:rsidP="00D9720D">
      <w:pPr>
        <w:pStyle w:val="Lijstalinea"/>
        <w:spacing w:after="0" w:line="240" w:lineRule="auto"/>
        <w:ind w:left="709"/>
        <w:jc w:val="both"/>
        <w:rPr>
          <w:b/>
          <w:bCs/>
        </w:rPr>
      </w:pPr>
    </w:p>
    <w:p w14:paraId="0EF266DA" w14:textId="77777777" w:rsidR="00D9720D" w:rsidRDefault="00D9720D" w:rsidP="00D9720D">
      <w:pPr>
        <w:pStyle w:val="Lijstalinea"/>
        <w:spacing w:after="0" w:line="240" w:lineRule="auto"/>
        <w:ind w:left="709"/>
        <w:jc w:val="both"/>
      </w:pPr>
      <w:r>
        <w:t xml:space="preserve">Daar komt bij dat het Hof in het arrest van 23 november 2016, </w:t>
      </w:r>
      <w:r w:rsidRPr="00BB158A">
        <w:t>ECLI:EU:C:2016:</w:t>
      </w:r>
      <w:r>
        <w:t xml:space="preserve">889 benadrukt dat het begrip emissiegegevens niet te ver mag worden opgerekt omdat anders aan veel uitzonderingsgronden die de wetgever heeft ingevoerd enig nuttig effect ontnomen wordt. Bijna alle milieu-informatie kan immers op een of andere manier gelinkt worden aan emissies: </w:t>
      </w:r>
    </w:p>
    <w:p w14:paraId="046067BB" w14:textId="77777777" w:rsidR="00D9720D" w:rsidRDefault="00D9720D" w:rsidP="00D9720D">
      <w:pPr>
        <w:pStyle w:val="Lijstalinea"/>
        <w:spacing w:after="0" w:line="240" w:lineRule="auto"/>
        <w:ind w:left="709"/>
        <w:jc w:val="both"/>
      </w:pPr>
    </w:p>
    <w:p w14:paraId="01781CB2" w14:textId="77777777" w:rsidR="00D9720D" w:rsidRPr="00BB158A" w:rsidRDefault="00D9720D" w:rsidP="00D9720D">
      <w:pPr>
        <w:pStyle w:val="Lijstalinea"/>
        <w:pBdr>
          <w:left w:val="single" w:sz="4" w:space="4" w:color="auto"/>
        </w:pBdr>
        <w:spacing w:after="0" w:line="240" w:lineRule="auto"/>
        <w:ind w:left="1416"/>
        <w:jc w:val="both"/>
        <w:rPr>
          <w:i/>
          <w:iCs/>
        </w:rPr>
      </w:pPr>
      <w:r>
        <w:rPr>
          <w:i/>
          <w:iCs/>
        </w:rPr>
        <w:t>“</w:t>
      </w:r>
      <w:r w:rsidRPr="00BB158A">
        <w:rPr>
          <w:i/>
          <w:iCs/>
        </w:rPr>
        <w:t xml:space="preserve">Hoewel, zoals in punt 55 van het onderhavige arrest is uiteengezet, het begrip „informatie [die] betrekking heeft op uitstoot in het milieu” niet restrictief hoeft te worden uitgelegd, </w:t>
      </w:r>
      <w:r w:rsidRPr="00BB158A">
        <w:rPr>
          <w:b/>
          <w:bCs/>
          <w:i/>
          <w:iCs/>
          <w:u w:val="single"/>
        </w:rPr>
        <w:t>valt daarom echter nog niet alle informatie die om het even welk – zelfs direct – verband met emissies in het milieu vertoont, onder dat begrip.</w:t>
      </w:r>
      <w:r w:rsidRPr="00BB158A">
        <w:rPr>
          <w:i/>
          <w:iCs/>
        </w:rPr>
        <w:t xml:space="preserve"> Zou dat begrip aldus worden opgevat dat het betrekking heeft op dergelijke informatie, zou het immers het begrip „milieu-informatie” in de zin van artikel 2, lid 1, onder d), van verordening nr. 1367/2006 grotendeels uithollen. </w:t>
      </w:r>
      <w:r w:rsidRPr="00BB158A">
        <w:rPr>
          <w:b/>
          <w:bCs/>
          <w:i/>
          <w:iCs/>
          <w:u w:val="single"/>
        </w:rPr>
        <w:t>Een dergelijke uitlegging zou aldus de in artikel 4, lid 2, eerste streepje, van verordening nr. 1049/2001 vastgestelde mogelijkheid voor de instellingen om te weigeren milieu-informatie openbaar te maken omdat een dergelijke openbaarmaking zou leiden tot de ondermijning van de bescherming van commerciële belangen van een bepaalde natuurlijke of rechtspersoon, elke nuttige werking ontnemen en een bedreiging vormen voor het evenwicht dat de Uniewetgever heeft willen verzekeren tussen de doelstelling van transparantie en de bescherming van die belangen. Zij zou ook op onevenredige wijze afbreuk doen aan de bescherming van de door artikel 339 VWEU gewaarborgde geheimhoudingsplicht.</w:t>
      </w:r>
      <w:r>
        <w:rPr>
          <w:i/>
          <w:iCs/>
        </w:rPr>
        <w:t>”</w:t>
      </w:r>
    </w:p>
    <w:p w14:paraId="77F18F22" w14:textId="77777777" w:rsidR="00D9720D" w:rsidRDefault="00D9720D" w:rsidP="00D9720D">
      <w:pPr>
        <w:pStyle w:val="Lijstalinea"/>
        <w:spacing w:after="0" w:line="240" w:lineRule="auto"/>
        <w:ind w:left="1416"/>
        <w:jc w:val="both"/>
      </w:pPr>
    </w:p>
    <w:p w14:paraId="090D0D95" w14:textId="77777777" w:rsidR="00D9720D" w:rsidRDefault="00D9720D" w:rsidP="00D9720D">
      <w:pPr>
        <w:pStyle w:val="Lijstalinea"/>
        <w:spacing w:after="0" w:line="240" w:lineRule="auto"/>
        <w:ind w:left="709"/>
        <w:jc w:val="both"/>
      </w:pPr>
      <w:r>
        <w:t xml:space="preserve">Ook mensen en vervoersmiddelen emitteren, terwijl het niet de bedoeling van de wetgever is dat met een beroep op de milieu-informatierichtlijn verzoekers alle (locatie) en persoonsgegevens van andere burgers of hun vervoersmiddelen op kunnen opvragen. </w:t>
      </w:r>
    </w:p>
    <w:p w14:paraId="54CEC04E" w14:textId="77777777" w:rsidR="00D9720D" w:rsidRDefault="00D9720D" w:rsidP="00D9720D">
      <w:pPr>
        <w:pStyle w:val="Lijstalinea"/>
        <w:spacing w:after="0" w:line="240" w:lineRule="auto"/>
        <w:ind w:left="709"/>
        <w:jc w:val="both"/>
      </w:pPr>
    </w:p>
    <w:p w14:paraId="7B3FD5D0" w14:textId="77777777" w:rsidR="00D9720D" w:rsidRPr="009453F7" w:rsidRDefault="00D9720D" w:rsidP="00D9720D">
      <w:pPr>
        <w:pStyle w:val="Lijstalinea"/>
        <w:numPr>
          <w:ilvl w:val="1"/>
          <w:numId w:val="1"/>
        </w:numPr>
        <w:spacing w:after="0" w:line="240" w:lineRule="auto"/>
        <w:ind w:left="709" w:hanging="709"/>
        <w:jc w:val="both"/>
        <w:rPr>
          <w:b/>
          <w:bCs/>
        </w:rPr>
      </w:pPr>
      <w:r>
        <w:rPr>
          <w:b/>
          <w:bCs/>
        </w:rPr>
        <w:t>Adresgegevens</w:t>
      </w:r>
    </w:p>
    <w:p w14:paraId="5AFA8CC3" w14:textId="77777777" w:rsidR="00D9720D" w:rsidRDefault="00D9720D" w:rsidP="00D9720D">
      <w:pPr>
        <w:pStyle w:val="Lijstalinea"/>
      </w:pPr>
    </w:p>
    <w:p w14:paraId="58F70CF3" w14:textId="17F440AE" w:rsidR="00D9720D" w:rsidRPr="009453F7" w:rsidRDefault="00C73621" w:rsidP="00D9720D">
      <w:pPr>
        <w:pStyle w:val="Lijstalinea"/>
        <w:numPr>
          <w:ilvl w:val="2"/>
          <w:numId w:val="1"/>
        </w:numPr>
        <w:spacing w:after="0" w:line="240" w:lineRule="auto"/>
        <w:ind w:left="709" w:hanging="709"/>
        <w:jc w:val="both"/>
        <w:rPr>
          <w:b/>
          <w:bCs/>
        </w:rPr>
      </w:pPr>
      <w:r>
        <w:t>In de verzo</w:t>
      </w:r>
      <w:r w:rsidR="0071274C">
        <w:t>eken gaat het onder andere over de coördinaten van de locatie</w:t>
      </w:r>
      <w:r w:rsidR="00E27195">
        <w:t>, UBN-nummer en adressen.</w:t>
      </w:r>
    </w:p>
    <w:p w14:paraId="18B8A6A3" w14:textId="77777777" w:rsidR="00D9720D" w:rsidRPr="009453F7" w:rsidRDefault="00D9720D" w:rsidP="00D9720D">
      <w:pPr>
        <w:pStyle w:val="Lijstalinea"/>
        <w:spacing w:after="0" w:line="240" w:lineRule="auto"/>
        <w:ind w:left="709"/>
        <w:jc w:val="both"/>
        <w:rPr>
          <w:b/>
          <w:bCs/>
        </w:rPr>
      </w:pPr>
    </w:p>
    <w:p w14:paraId="7EDD8551" w14:textId="345EE66D" w:rsidR="00D9720D" w:rsidRPr="009453F7" w:rsidRDefault="00D9720D" w:rsidP="00D9720D">
      <w:pPr>
        <w:pStyle w:val="Lijstalinea"/>
        <w:numPr>
          <w:ilvl w:val="2"/>
          <w:numId w:val="1"/>
        </w:numPr>
        <w:spacing w:after="0" w:line="240" w:lineRule="auto"/>
        <w:ind w:left="709" w:hanging="709"/>
        <w:jc w:val="both"/>
        <w:rPr>
          <w:b/>
          <w:bCs/>
        </w:rPr>
      </w:pPr>
      <w:r>
        <w:t>Uit het door de Europese Commissie gepubliceerde Richtsnoer</w:t>
      </w:r>
      <w:r w:rsidR="00071FB5">
        <w:rPr>
          <w:rStyle w:val="Voetnootmarkering"/>
        </w:rPr>
        <w:footnoteReference w:id="1"/>
      </w:r>
      <w:r>
        <w:t xml:space="preserve"> (p. 57) volgt dat de naam van de inrichting en adresgegevens géén emissiegegevens betreffen en dat de openbaarmaking hiervan geweigerd dient te worden op grond van de AVG (Algemene verordening gegevensbescherming), althans de voorganger daarvan:</w:t>
      </w:r>
    </w:p>
    <w:p w14:paraId="135066EB" w14:textId="77777777" w:rsidR="00D9720D" w:rsidRDefault="00D9720D" w:rsidP="00D9720D">
      <w:pPr>
        <w:pStyle w:val="Lijstalinea"/>
        <w:spacing w:after="0" w:line="240" w:lineRule="auto"/>
        <w:ind w:left="709"/>
        <w:jc w:val="both"/>
      </w:pPr>
    </w:p>
    <w:p w14:paraId="0E890DD5" w14:textId="77777777" w:rsidR="00D9720D" w:rsidRPr="004E02AD" w:rsidRDefault="00D9720D" w:rsidP="00D9720D">
      <w:pPr>
        <w:pStyle w:val="Lijstalinea"/>
        <w:spacing w:after="0" w:line="240" w:lineRule="auto"/>
        <w:ind w:left="709"/>
        <w:jc w:val="both"/>
        <w:rPr>
          <w:b/>
          <w:bCs/>
        </w:rPr>
      </w:pPr>
      <w:r w:rsidRPr="00F950DC">
        <w:rPr>
          <w:noProof/>
        </w:rPr>
        <w:drawing>
          <wp:inline distT="0" distB="0" distL="0" distR="0" wp14:anchorId="36F343BB" wp14:editId="2D7A2C95">
            <wp:extent cx="5760720" cy="4401820"/>
            <wp:effectExtent l="0" t="0" r="0" b="0"/>
            <wp:docPr id="1972983403"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83403" name="Afbeelding 1" descr="Afbeelding met tekst, schermopname, Lettertype, nummer&#10;&#10;Door AI gegenereerde inhoud is mogelijk onjuist."/>
                    <pic:cNvPicPr/>
                  </pic:nvPicPr>
                  <pic:blipFill>
                    <a:blip r:embed="rId8"/>
                    <a:stretch>
                      <a:fillRect/>
                    </a:stretch>
                  </pic:blipFill>
                  <pic:spPr>
                    <a:xfrm>
                      <a:off x="0" y="0"/>
                      <a:ext cx="5760720" cy="4401820"/>
                    </a:xfrm>
                    <a:prstGeom prst="rect">
                      <a:avLst/>
                    </a:prstGeom>
                  </pic:spPr>
                </pic:pic>
              </a:graphicData>
            </a:graphic>
          </wp:inline>
        </w:drawing>
      </w:r>
      <w:r>
        <w:t xml:space="preserve"> </w:t>
      </w:r>
    </w:p>
    <w:p w14:paraId="3AE44A4B" w14:textId="77777777" w:rsidR="00D9720D" w:rsidRDefault="00D9720D" w:rsidP="00D9720D">
      <w:pPr>
        <w:pStyle w:val="Lijstalinea"/>
        <w:spacing w:after="0" w:line="240" w:lineRule="auto"/>
        <w:ind w:left="709"/>
        <w:jc w:val="both"/>
        <w:rPr>
          <w:b/>
          <w:bCs/>
        </w:rPr>
      </w:pPr>
    </w:p>
    <w:p w14:paraId="6302F5A3" w14:textId="055E6EA8" w:rsidR="00D9720D" w:rsidRDefault="00D9720D" w:rsidP="00D9720D">
      <w:pPr>
        <w:pStyle w:val="Lijstalinea"/>
        <w:numPr>
          <w:ilvl w:val="2"/>
          <w:numId w:val="1"/>
        </w:numPr>
        <w:spacing w:after="0" w:line="240" w:lineRule="auto"/>
        <w:ind w:left="709" w:hanging="709"/>
        <w:jc w:val="both"/>
      </w:pPr>
      <w:r w:rsidRPr="00055B34">
        <w:t>Het standpunt van de Commissie, zoals weergegeven in het Richtsnoer, volgt ook uit de wetsgeschiedenis van Richtlijn 2003/4/EG</w:t>
      </w:r>
      <w:r>
        <w:t xml:space="preserve"> (zie</w:t>
      </w:r>
      <w:r w:rsidRPr="00055B34">
        <w:t xml:space="preserve"> </w:t>
      </w:r>
      <w:r w:rsidR="00B5638E" w:rsidRPr="00055B34">
        <w:t>COM (</w:t>
      </w:r>
      <w:r w:rsidRPr="00055B34">
        <w:t xml:space="preserve">2000)402; </w:t>
      </w:r>
      <w:r w:rsidR="00B5638E" w:rsidRPr="00055B34">
        <w:t>COM (</w:t>
      </w:r>
      <w:r w:rsidRPr="00055B34">
        <w:t xml:space="preserve">2001)303 en </w:t>
      </w:r>
      <w:r>
        <w:t xml:space="preserve">het </w:t>
      </w:r>
      <w:r w:rsidRPr="00055B34">
        <w:t>Gemeenschappelijk Standpunt (EG) nr. 24/2002</w:t>
      </w:r>
      <w:r>
        <w:t xml:space="preserve"> waarin veel waarde wordt gehecht aan de bescherming van de persoonlijke levenssfeer).</w:t>
      </w:r>
    </w:p>
    <w:p w14:paraId="0396589E" w14:textId="77777777" w:rsidR="00D9720D" w:rsidRDefault="00D9720D" w:rsidP="00D9720D">
      <w:pPr>
        <w:pStyle w:val="Lijstalinea"/>
        <w:spacing w:after="0" w:line="240" w:lineRule="auto"/>
        <w:ind w:left="709"/>
        <w:jc w:val="both"/>
      </w:pPr>
    </w:p>
    <w:p w14:paraId="39D2562D" w14:textId="1D03772E" w:rsidR="00D9720D" w:rsidRPr="009453F7" w:rsidRDefault="00D9720D" w:rsidP="00D9720D">
      <w:pPr>
        <w:pStyle w:val="Lijstalinea"/>
        <w:numPr>
          <w:ilvl w:val="2"/>
          <w:numId w:val="1"/>
        </w:numPr>
        <w:spacing w:after="0" w:line="240" w:lineRule="auto"/>
        <w:ind w:left="709" w:hanging="709"/>
        <w:jc w:val="both"/>
        <w:rPr>
          <w:b/>
          <w:bCs/>
        </w:rPr>
      </w:pPr>
      <w:r>
        <w:t xml:space="preserve">Het standpunt dat adresgegevens geen emissiegegevens zijn wordt ook in de rechtspraak bevestigd. </w:t>
      </w:r>
      <w:r w:rsidRPr="009453F7">
        <w:t>Zo overwoog de Afdeling bestuursrechtspraak van de Raad van State in België in de uitspraak van 25 januari 2024, ECLI:</w:t>
      </w:r>
      <w:proofErr w:type="gramStart"/>
      <w:r w:rsidRPr="009453F7">
        <w:t>BE:RVSCE</w:t>
      </w:r>
      <w:proofErr w:type="gramEnd"/>
      <w:r w:rsidRPr="009453F7">
        <w:t>:</w:t>
      </w:r>
      <w:proofErr w:type="gramStart"/>
      <w:r w:rsidRPr="009453F7">
        <w:t>2024:ARR.</w:t>
      </w:r>
      <w:proofErr w:type="gramEnd"/>
      <w:r w:rsidRPr="009453F7">
        <w:t xml:space="preserve">258.576: </w:t>
      </w:r>
    </w:p>
    <w:p w14:paraId="5540DFB4" w14:textId="77777777" w:rsidR="00D9720D" w:rsidRPr="009453F7" w:rsidRDefault="00D9720D" w:rsidP="00D9720D">
      <w:pPr>
        <w:pStyle w:val="Lijstalinea"/>
        <w:spacing w:after="0" w:line="240" w:lineRule="auto"/>
        <w:ind w:left="709"/>
        <w:jc w:val="both"/>
        <w:rPr>
          <w:b/>
          <w:bCs/>
        </w:rPr>
      </w:pPr>
    </w:p>
    <w:p w14:paraId="34D2D0B0" w14:textId="77777777" w:rsidR="00D9720D" w:rsidRPr="009453F7" w:rsidRDefault="00D9720D" w:rsidP="00D9720D">
      <w:pPr>
        <w:pStyle w:val="Lijstalinea"/>
        <w:pBdr>
          <w:left w:val="single" w:sz="4" w:space="4" w:color="auto"/>
        </w:pBdr>
        <w:spacing w:line="240" w:lineRule="auto"/>
        <w:ind w:left="1416"/>
      </w:pPr>
      <w:r>
        <w:rPr>
          <w:i/>
          <w:iCs/>
        </w:rPr>
        <w:t>“</w:t>
      </w:r>
      <w:r w:rsidRPr="009453F7">
        <w:rPr>
          <w:i/>
          <w:iCs/>
        </w:rPr>
        <w:t xml:space="preserve">31. De namen van de exploitanten van die bedrijven, of zij nu natuurlijke personen of rechtspersonen zijn, kunnen anderzijds niet beschouwd worden als informatie over “emissies in het milieu”. Het is weliswaar zo dat die namen vrij gemakkelijk kunnen </w:t>
      </w:r>
      <w:r w:rsidRPr="009453F7">
        <w:rPr>
          <w:i/>
          <w:iCs/>
        </w:rPr>
        <w:lastRenderedPageBreak/>
        <w:t>worden achterhaald van zodra de ligging van het bedrijf openbaar wordt gemaakt, doch die omstandigheid betekent niet dat het aan de overheidsinstantie toekomt om ook die namen openbaar te maken. Hetzelfde geldt voor de adressen van de exploitanten die zouden verschillen van de ligging van het bedrijf. Voor wat die namen en adressen betreft, heeft de Beroepsinstantie dan ook terecht geoordeeld dat het belang van de openbaarheid ervan diende te worden afgewogen tegen de belangen van de bescherming van de persoonlijke levenssfeer en het vertrouwelijke karakter van commerciële en industriële informatie.</w:t>
      </w:r>
      <w:r>
        <w:rPr>
          <w:i/>
          <w:iCs/>
        </w:rPr>
        <w:t>”</w:t>
      </w:r>
    </w:p>
    <w:p w14:paraId="169CB0AE" w14:textId="77777777" w:rsidR="00D9720D" w:rsidRDefault="00D9720D" w:rsidP="00D9720D">
      <w:pPr>
        <w:pStyle w:val="Lijstalinea"/>
        <w:spacing w:after="0" w:line="240" w:lineRule="auto"/>
        <w:ind w:left="709"/>
        <w:jc w:val="both"/>
      </w:pPr>
    </w:p>
    <w:p w14:paraId="436A46A0" w14:textId="77777777" w:rsidR="00D9720D" w:rsidRDefault="00D9720D" w:rsidP="00D9720D">
      <w:pPr>
        <w:pStyle w:val="Lijstalinea"/>
        <w:numPr>
          <w:ilvl w:val="1"/>
          <w:numId w:val="1"/>
        </w:numPr>
        <w:spacing w:after="0" w:line="240" w:lineRule="auto"/>
        <w:ind w:left="709" w:hanging="709"/>
        <w:jc w:val="both"/>
        <w:rPr>
          <w:b/>
          <w:bCs/>
        </w:rPr>
      </w:pPr>
      <w:r>
        <w:rPr>
          <w:b/>
          <w:bCs/>
        </w:rPr>
        <w:t>Aantal geregistreerde landbouwhuisdieren en staltype</w:t>
      </w:r>
    </w:p>
    <w:p w14:paraId="5F243872" w14:textId="77777777" w:rsidR="00D9720D" w:rsidRDefault="00D9720D" w:rsidP="00D9720D">
      <w:pPr>
        <w:pStyle w:val="Lijstalinea"/>
        <w:spacing w:after="0" w:line="240" w:lineRule="auto"/>
        <w:ind w:left="709"/>
        <w:jc w:val="both"/>
        <w:rPr>
          <w:b/>
          <w:bCs/>
        </w:rPr>
      </w:pPr>
    </w:p>
    <w:p w14:paraId="0B9662D5" w14:textId="28C8FDE0" w:rsidR="00D9720D" w:rsidRPr="004C6A15" w:rsidRDefault="00D9720D" w:rsidP="00D9720D">
      <w:pPr>
        <w:pStyle w:val="Lijstalinea"/>
        <w:numPr>
          <w:ilvl w:val="2"/>
          <w:numId w:val="1"/>
        </w:numPr>
        <w:spacing w:after="0" w:line="240" w:lineRule="auto"/>
        <w:ind w:left="709" w:hanging="709"/>
        <w:jc w:val="both"/>
        <w:rPr>
          <w:b/>
          <w:bCs/>
        </w:rPr>
      </w:pPr>
      <w:r>
        <w:t xml:space="preserve">Dat </w:t>
      </w:r>
      <w:r w:rsidR="004A7432">
        <w:t>u</w:t>
      </w:r>
      <w:r>
        <w:t xml:space="preserve"> ten onrechte het </w:t>
      </w:r>
      <w:r w:rsidR="000B107D">
        <w:t xml:space="preserve">(gemiddelde) </w:t>
      </w:r>
      <w:r>
        <w:t xml:space="preserve">aantal geregistreerde landbouwhuisdieren </w:t>
      </w:r>
      <w:r w:rsidR="0021309B">
        <w:t xml:space="preserve">en staltypen </w:t>
      </w:r>
      <w:proofErr w:type="gramStart"/>
      <w:r w:rsidR="0021309B">
        <w:t>alsmede</w:t>
      </w:r>
      <w:proofErr w:type="gramEnd"/>
      <w:r w:rsidR="0021309B">
        <w:t xml:space="preserve"> RAV-codes en de omschrijvingen van RAV-codes </w:t>
      </w:r>
      <w:r>
        <w:t>aanmerkt als emissiegegeven volgt</w:t>
      </w:r>
      <w:r w:rsidR="000604AB">
        <w:t xml:space="preserve"> o.a.</w:t>
      </w:r>
      <w:r>
        <w:t xml:space="preserve"> uit de</w:t>
      </w:r>
      <w:r w:rsidR="000604AB">
        <w:t xml:space="preserve"> Nederlandse,</w:t>
      </w:r>
      <w:r>
        <w:t xml:space="preserve"> Belgische en Duitse jurisprudentie. Zo overwoog de Vlaamse </w:t>
      </w:r>
      <w:r w:rsidRPr="00791BD9">
        <w:t xml:space="preserve">Beroepsinstantie </w:t>
      </w:r>
      <w:proofErr w:type="gramStart"/>
      <w:r w:rsidRPr="00791BD9">
        <w:t>inzake</w:t>
      </w:r>
      <w:proofErr w:type="gramEnd"/>
      <w:r w:rsidRPr="00791BD9">
        <w:t xml:space="preserve"> openbaarheid van bestuur en hergebruik van overheidsinformatie (</w:t>
      </w:r>
      <w:r>
        <w:t xml:space="preserve">Afdeling openbaarheid van bestuur) 11 maart 2025, zaaknummer </w:t>
      </w:r>
      <w:r w:rsidRPr="00F950DC">
        <w:t>OVB/2025/033</w:t>
      </w:r>
      <w:r>
        <w:t>):</w:t>
      </w:r>
    </w:p>
    <w:p w14:paraId="235A2AB2" w14:textId="77777777" w:rsidR="00D9720D" w:rsidRPr="00791BD9" w:rsidRDefault="00D9720D" w:rsidP="00D9720D">
      <w:pPr>
        <w:pStyle w:val="Lijstalinea"/>
        <w:spacing w:after="0" w:line="240" w:lineRule="auto"/>
        <w:ind w:left="709"/>
        <w:jc w:val="both"/>
        <w:rPr>
          <w:b/>
          <w:bCs/>
        </w:rPr>
      </w:pPr>
    </w:p>
    <w:p w14:paraId="5524B3AC"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“4. Standpunt van de beroepsinstantie </w:t>
      </w:r>
    </w:p>
    <w:p w14:paraId="7C0DB27C"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De beroeper vraagt naar specifieke mest- en veeteeltgegevens m.b.t. een welbepaalde locatie, namelijk het varkensbedrijf xxx. </w:t>
      </w:r>
    </w:p>
    <w:p w14:paraId="3485398E"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Hij vroeg meer bepaald naar: </w:t>
      </w:r>
    </w:p>
    <w:p w14:paraId="75FDD5D3"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a) het aantal en type van dieren op het bedrijf; </w:t>
      </w:r>
    </w:p>
    <w:p w14:paraId="2600E64E"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b) de mestproductie per diersoort; </w:t>
      </w:r>
    </w:p>
    <w:p w14:paraId="0B90127C"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c) de hoeveelheid van de afgevoerde mest en hoeveelheid mest die intern werd gebruikt op eigen percelen en/of burenregeling; </w:t>
      </w:r>
    </w:p>
    <w:p w14:paraId="3121D1D9"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d) de eventuele wijzigingen in de veestapel gedurende het jaar; </w:t>
      </w:r>
    </w:p>
    <w:p w14:paraId="797C5183"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e) een jaarlijks overzicht van de toegekende nutriëntenemissierechten voor voormeld bedrijf (i.c. NER-DV (varkens). </w:t>
      </w:r>
    </w:p>
    <w:p w14:paraId="31500D12"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67123664"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Het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maakt voor wat betreft de uitzonderingsgronden een onderscheid tussen enerzijds </w:t>
      </w:r>
      <w:proofErr w:type="spellStart"/>
      <w:r w:rsidRPr="000F0414">
        <w:rPr>
          <w:rFonts w:asciiTheme="minorHAnsi" w:hAnsiTheme="minorHAnsi" w:cstheme="minorHAnsi"/>
          <w:i/>
          <w:iCs/>
          <w:sz w:val="22"/>
          <w:szCs w:val="22"/>
        </w:rPr>
        <w:t>bestuursdocumenten</w:t>
      </w:r>
      <w:proofErr w:type="spellEnd"/>
      <w:r w:rsidRPr="000F0414">
        <w:rPr>
          <w:rFonts w:asciiTheme="minorHAnsi" w:hAnsiTheme="minorHAnsi" w:cstheme="minorHAnsi"/>
          <w:i/>
          <w:iCs/>
          <w:sz w:val="22"/>
          <w:szCs w:val="22"/>
        </w:rPr>
        <w:t xml:space="preserve"> die milieu-informatie bevatten en anderzijds </w:t>
      </w:r>
      <w:proofErr w:type="spellStart"/>
      <w:r w:rsidRPr="000F0414">
        <w:rPr>
          <w:rFonts w:asciiTheme="minorHAnsi" w:hAnsiTheme="minorHAnsi" w:cstheme="minorHAnsi"/>
          <w:i/>
          <w:iCs/>
          <w:sz w:val="22"/>
          <w:szCs w:val="22"/>
        </w:rPr>
        <w:t>bestuursdocumenten</w:t>
      </w:r>
      <w:proofErr w:type="spellEnd"/>
      <w:r w:rsidRPr="000F0414">
        <w:rPr>
          <w:rFonts w:asciiTheme="minorHAnsi" w:hAnsiTheme="minorHAnsi" w:cstheme="minorHAnsi"/>
          <w:i/>
          <w:iCs/>
          <w:sz w:val="22"/>
          <w:szCs w:val="22"/>
        </w:rPr>
        <w:t xml:space="preserve"> die geen milieu-informatie bevatten. Artikel I.4, 11° van het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somt gedetailleerd op wat onder milieu-informatie moet verstaan worden. Het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maakt, voor wat betreft de uitzonderingen op het recht op openbaarheid, verder een onderscheid naargelang het gaat om een aanvraag tot openbaarmaking die betrekking heeft op emissies in het milieu, dan wel op andere milieu-informatie. Het begrip “emissie” dient te worden opgevat als gedefinieerd in artikel 1.1.2, §1, 3° van het DABM: “elke inbreng door de mens van verontreinigingsfactoren in de atmosfeer, de bodem of het water”.</w:t>
      </w:r>
    </w:p>
    <w:p w14:paraId="40BD85C7"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41C1E8E7"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Voor wat betreft de onderdelen a), b) en d) van het openbaarheidsverzoek stelt de VLM terecht dat het openbaarheidsverzoek betrekking heeft op milieu-informatie en stelt ze vooreerst dat de gevraagde informatie verband houdt met de persoonlijke levenssfeer van de landbouwer. Dergelijke informatie bevat immers gegevens over het professioneel leven van de landbouwer in het geval deze zijn activiteiten uitoefent als natuurlijk persoon. Dergelijke informatie heeft aldus betrekking op het inkomen van de betrokkenen, wat als een persoonsgegeven beschouwd wordt, en wat dus gelet op art. II.36, §1, 2e lid, 1°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geweigerd moet worden. </w:t>
      </w:r>
    </w:p>
    <w:p w14:paraId="4710B5F1"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6720B817"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De VLM kan een aanvraag tot openbaarmaking afwijzen, voor zover die betrekking heeft op milieu-informatie, </w:t>
      </w:r>
      <w:proofErr w:type="gramStart"/>
      <w:r w:rsidRPr="000F0414">
        <w:rPr>
          <w:rFonts w:asciiTheme="minorHAnsi" w:hAnsiTheme="minorHAnsi" w:cstheme="minorHAnsi"/>
          <w:i/>
          <w:iCs/>
          <w:sz w:val="22"/>
          <w:szCs w:val="22"/>
        </w:rPr>
        <w:t>indien</w:t>
      </w:r>
      <w:proofErr w:type="gramEnd"/>
      <w:r w:rsidRPr="000F0414">
        <w:rPr>
          <w:rFonts w:asciiTheme="minorHAnsi" w:hAnsiTheme="minorHAnsi" w:cstheme="minorHAnsi"/>
          <w:i/>
          <w:iCs/>
          <w:sz w:val="22"/>
          <w:szCs w:val="22"/>
        </w:rPr>
        <w:t xml:space="preserve"> ze van oordeel zijn dat het belang van de openbaarheid niet opweegt tegen de bescherming van de persoonlijke levenssfeer, </w:t>
      </w:r>
      <w:r w:rsidRPr="000F0414">
        <w:rPr>
          <w:rFonts w:asciiTheme="minorHAnsi" w:hAnsiTheme="minorHAnsi" w:cstheme="minorHAnsi"/>
          <w:i/>
          <w:iCs/>
          <w:sz w:val="22"/>
          <w:szCs w:val="22"/>
        </w:rPr>
        <w:lastRenderedPageBreak/>
        <w:t xml:space="preserve">tenzij de betrokken persoon met de openbaarmaking instemt. De beroepsinstantie is van oordeel is dat het openbaar maken van de gevraagde gegevens a), b) en d) indirect informatie inhoudt over het professioneel leven van de betrokken landbouwer (als het een natuurlijke persoon betreft en dus geen uitbating in vennootschapsvorm). </w:t>
      </w:r>
    </w:p>
    <w:p w14:paraId="6D432684"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44297FD4"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In principe kan de bescherming van de persoonlijke levenssfeer niet worden ingeroepen ten aanzien van rechtspersonen maar in bijzondere gevallen kan dit echter wel het geval zijn, bijvoorbeeld indien uit de officiële naam van de rechtspersoon in combinatie met de reeds gekende adresgegevens de identiteit van een of meer natuurlijke personen blijkt of als die naam uitdrukkelijk verwijst naar een natuurlijk persoon, hetgeen het geval is wanneer, zoals in het voorliggend geval, uit de officiële naam van een vennootschap rechtstreeks de identiteit blijkt van de natuurlijke personen die vennoot zijn in die vennootschap. </w:t>
      </w:r>
    </w:p>
    <w:p w14:paraId="0719B4D2"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De betreffende informatie geeft (indirect) inzicht over de omvang van het landbouwbedrijf, het bezit of het gebruik van landbouwgronden en de financiële draagkracht van de landbouwer als ondernemer. Ook zal het samenleggen van de gevraagde informatie in de verschillende subonderdelen van het openbaarheidsverzoek volgens de beroepsinstantie nog sneller tot dergelijke inzichten leiden. </w:t>
      </w:r>
    </w:p>
    <w:p w14:paraId="003A96BD"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62B577D9"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Het vrijgeven van dergelijke informatie, waarvan de VLM stelt dat het combineren met andere informatie – mits enige onderlegdheid -tot bepaalde bedrijfsgevoelige inzichten of inzichten kaderend binnen de persoonlijke levenssfeer kan leiden, zou wel degelijk een inbreuk uitmaken op de eerbiediging van de persoonlijke levenssfeer van een landbouwer (die geen vennootschap is). Ook het professionele leven valt onder de toepassing hiervan. Het openbaar maken van bedrijfsspecifieke productiedata heeft betrekking op de kern van een belang – het door artikel 22 van de Grondwet en het door artikel 8 EVRM aan eenieder toegekende recht op eerbiediging van zijn privéleven – dat de uitzonderingsgrond uit artikel II.36, § 1, 2de lid, 1° van het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wenst te beschermen tegen de openbaarheid van bestuur (RvS, nr. 234.609 dd. 2 mei 2016). </w:t>
      </w:r>
    </w:p>
    <w:p w14:paraId="66C39998"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78E85BAB"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Daarenboven is er </w:t>
      </w:r>
      <w:proofErr w:type="gramStart"/>
      <w:r w:rsidRPr="000F0414">
        <w:rPr>
          <w:rFonts w:asciiTheme="minorHAnsi" w:hAnsiTheme="minorHAnsi" w:cstheme="minorHAnsi"/>
          <w:i/>
          <w:iCs/>
          <w:sz w:val="22"/>
          <w:szCs w:val="22"/>
        </w:rPr>
        <w:t>conform</w:t>
      </w:r>
      <w:proofErr w:type="gramEnd"/>
      <w:r w:rsidRPr="000F0414">
        <w:rPr>
          <w:rFonts w:asciiTheme="minorHAnsi" w:hAnsiTheme="minorHAnsi" w:cstheme="minorHAnsi"/>
          <w:i/>
          <w:iCs/>
          <w:sz w:val="22"/>
          <w:szCs w:val="22"/>
        </w:rPr>
        <w:t xml:space="preserve"> de AVG geen rechtsgrond om deze persoonsgegevens te verwerken, in </w:t>
      </w:r>
      <w:proofErr w:type="spellStart"/>
      <w:r w:rsidRPr="000F0414">
        <w:rPr>
          <w:rFonts w:asciiTheme="minorHAnsi" w:hAnsiTheme="minorHAnsi" w:cstheme="minorHAnsi"/>
          <w:i/>
          <w:iCs/>
          <w:sz w:val="22"/>
          <w:szCs w:val="22"/>
        </w:rPr>
        <w:t>casu</w:t>
      </w:r>
      <w:proofErr w:type="spellEnd"/>
      <w:r w:rsidRPr="000F0414">
        <w:rPr>
          <w:rFonts w:asciiTheme="minorHAnsi" w:hAnsiTheme="minorHAnsi" w:cstheme="minorHAnsi"/>
          <w:i/>
          <w:iCs/>
          <w:sz w:val="22"/>
          <w:szCs w:val="22"/>
        </w:rPr>
        <w:t xml:space="preserve"> het openbaar maken van deze gegevens, nu artikel II.36, § 1, 2de lid, 1° van het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net deze verwerking, die afbreuk doet aan de persoonlijke levenssfeer, uitsluit. De enige mogelijke rechtsgrond </w:t>
      </w:r>
      <w:proofErr w:type="gramStart"/>
      <w:r w:rsidRPr="000F0414">
        <w:rPr>
          <w:rFonts w:asciiTheme="minorHAnsi" w:hAnsiTheme="minorHAnsi" w:cstheme="minorHAnsi"/>
          <w:i/>
          <w:iCs/>
          <w:sz w:val="22"/>
          <w:szCs w:val="22"/>
        </w:rPr>
        <w:t>conform</w:t>
      </w:r>
      <w:proofErr w:type="gramEnd"/>
      <w:r w:rsidRPr="000F0414">
        <w:rPr>
          <w:rFonts w:asciiTheme="minorHAnsi" w:hAnsiTheme="minorHAnsi" w:cstheme="minorHAnsi"/>
          <w:i/>
          <w:iCs/>
          <w:sz w:val="22"/>
          <w:szCs w:val="22"/>
        </w:rPr>
        <w:t xml:space="preserve"> de AVG is de toestemming van de betrokkene, voorwaarde die </w:t>
      </w:r>
      <w:proofErr w:type="gramStart"/>
      <w:r w:rsidRPr="000F0414">
        <w:rPr>
          <w:rFonts w:asciiTheme="minorHAnsi" w:hAnsiTheme="minorHAnsi" w:cstheme="minorHAnsi"/>
          <w:i/>
          <w:iCs/>
          <w:sz w:val="22"/>
          <w:szCs w:val="22"/>
        </w:rPr>
        <w:t>tevens</w:t>
      </w:r>
      <w:proofErr w:type="gramEnd"/>
      <w:r w:rsidRPr="000F0414">
        <w:rPr>
          <w:rFonts w:asciiTheme="minorHAnsi" w:hAnsiTheme="minorHAnsi" w:cstheme="minorHAnsi"/>
          <w:i/>
          <w:iCs/>
          <w:sz w:val="22"/>
          <w:szCs w:val="22"/>
        </w:rPr>
        <w:t xml:space="preserve"> vervat zit in artikel II.36, § 1, 2e lid, 1° van het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w:t>
      </w:r>
    </w:p>
    <w:p w14:paraId="0511AE34"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1254B6C4"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De beroepsinstantie ziet geen enkel hoger belang ten dienste waarvan de openbaarmaking zou moeten worden bevolen. De VLM heeft in </w:t>
      </w:r>
      <w:proofErr w:type="spellStart"/>
      <w:r w:rsidRPr="000F0414">
        <w:rPr>
          <w:rFonts w:asciiTheme="minorHAnsi" w:hAnsiTheme="minorHAnsi" w:cstheme="minorHAnsi"/>
          <w:i/>
          <w:iCs/>
          <w:sz w:val="22"/>
          <w:szCs w:val="22"/>
        </w:rPr>
        <w:t>casu</w:t>
      </w:r>
      <w:proofErr w:type="spellEnd"/>
      <w:r w:rsidRPr="000F0414">
        <w:rPr>
          <w:rFonts w:asciiTheme="minorHAnsi" w:hAnsiTheme="minorHAnsi" w:cstheme="minorHAnsi"/>
          <w:i/>
          <w:iCs/>
          <w:sz w:val="22"/>
          <w:szCs w:val="22"/>
        </w:rPr>
        <w:t xml:space="preserve"> terecht een beroep gedaan heeft op deze ingeroepen uitzonderingsgrond, in die mate dat het gaat om een landbouwer als natuurlijke persoon. </w:t>
      </w:r>
    </w:p>
    <w:p w14:paraId="56F447AE"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746ECD2D"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Daarnaast meent de VLM dat de gegevens over de omvang en samenstelling van de veestapel van een landbouwbedrijf een kernaspect uitmaakt van de bedrijfsvoering van de betrokkene landbouwer, waaruit ook andere zaken over de bedrijfsvoering kunnen afgeleid worden. De betrokken landbouwer kan volgens de VLM commerciële schade lijden door de openbaarmaking van deze gegevens. Het bekendmaken van deze gegevens kan </w:t>
      </w:r>
      <w:proofErr w:type="gramStart"/>
      <w:r w:rsidRPr="000F0414">
        <w:rPr>
          <w:rFonts w:asciiTheme="minorHAnsi" w:hAnsiTheme="minorHAnsi" w:cstheme="minorHAnsi"/>
          <w:i/>
          <w:iCs/>
          <w:sz w:val="22"/>
          <w:szCs w:val="22"/>
        </w:rPr>
        <w:t>tevens</w:t>
      </w:r>
      <w:proofErr w:type="gramEnd"/>
      <w:r w:rsidRPr="000F0414">
        <w:rPr>
          <w:rFonts w:asciiTheme="minorHAnsi" w:hAnsiTheme="minorHAnsi" w:cstheme="minorHAnsi"/>
          <w:i/>
          <w:iCs/>
          <w:sz w:val="22"/>
          <w:szCs w:val="22"/>
        </w:rPr>
        <w:t xml:space="preserve"> de concurrentiepositie van de betrokken landbouwer in het gedrang brengen. Volgens de VLM gaat de openbaarmaking van de gevraagde gegevens een inbreuk plegen op het vertrouwelijke karakter van commerciële gegevens </w:t>
      </w:r>
      <w:r w:rsidRPr="000F0414">
        <w:rPr>
          <w:rFonts w:asciiTheme="minorHAnsi" w:hAnsiTheme="minorHAnsi" w:cstheme="minorHAnsi"/>
          <w:i/>
          <w:iCs/>
          <w:sz w:val="22"/>
          <w:szCs w:val="22"/>
        </w:rPr>
        <w:lastRenderedPageBreak/>
        <w:t xml:space="preserve">van de betrokken landbouwer, en dient de aanvraag van deze gegevens, gelet op art. II.36, §1, 2e lid, 7°, geweigerd te worden. </w:t>
      </w:r>
    </w:p>
    <w:p w14:paraId="59C237EC"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0AE84D40"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r w:rsidRPr="000F0414">
        <w:rPr>
          <w:rFonts w:asciiTheme="minorHAnsi" w:hAnsiTheme="minorHAnsi" w:cstheme="minorHAnsi"/>
          <w:i/>
          <w:iCs/>
          <w:sz w:val="22"/>
          <w:szCs w:val="22"/>
        </w:rPr>
        <w:t xml:space="preserve">Volgens art. II.36, §1, 2e lid, 7° </w:t>
      </w:r>
      <w:proofErr w:type="spellStart"/>
      <w:r w:rsidRPr="000F0414">
        <w:rPr>
          <w:rFonts w:asciiTheme="minorHAnsi" w:hAnsiTheme="minorHAnsi" w:cstheme="minorHAnsi"/>
          <w:i/>
          <w:iCs/>
          <w:sz w:val="22"/>
          <w:szCs w:val="22"/>
        </w:rPr>
        <w:t>Bestuursdecreet</w:t>
      </w:r>
      <w:proofErr w:type="spellEnd"/>
      <w:r w:rsidRPr="000F0414">
        <w:rPr>
          <w:rFonts w:asciiTheme="minorHAnsi" w:hAnsiTheme="minorHAnsi" w:cstheme="minorHAnsi"/>
          <w:i/>
          <w:iCs/>
          <w:sz w:val="22"/>
          <w:szCs w:val="22"/>
        </w:rPr>
        <w:t xml:space="preserve"> moet een aanvraag om openbaarmaking afgewezen worden </w:t>
      </w:r>
      <w:proofErr w:type="gramStart"/>
      <w:r w:rsidRPr="000F0414">
        <w:rPr>
          <w:rFonts w:asciiTheme="minorHAnsi" w:hAnsiTheme="minorHAnsi" w:cstheme="minorHAnsi"/>
          <w:i/>
          <w:iCs/>
          <w:sz w:val="22"/>
          <w:szCs w:val="22"/>
        </w:rPr>
        <w:t>indien</w:t>
      </w:r>
      <w:proofErr w:type="gramEnd"/>
      <w:r w:rsidRPr="000F0414">
        <w:rPr>
          <w:rFonts w:asciiTheme="minorHAnsi" w:hAnsiTheme="minorHAnsi" w:cstheme="minorHAnsi"/>
          <w:i/>
          <w:iCs/>
          <w:sz w:val="22"/>
          <w:szCs w:val="22"/>
        </w:rPr>
        <w:t xml:space="preserve"> het belang van de openbaarheid niet opweegt tegen de bescherming van het vertrouwelijke karakter van commerciële en industriële informatie, wanneer deze informatie beschermd wordt om een gelegitimeerd economisch belang te vrijwaren tenzij diegene van wie de informatie afkomstig is met de openbaarheid instemt. De uitzonderingsgrond vervat in artikel 36, § 1, 2e lid, 7° beoogt de bescherming van de vertrouwelijke, aan een overheidsinstantie meegedeelde, commerciële en industriële gegevens, te kwalificeren als milieu-informatie, die in </w:t>
      </w:r>
      <w:proofErr w:type="spellStart"/>
      <w:r w:rsidRPr="000F0414">
        <w:rPr>
          <w:rFonts w:asciiTheme="minorHAnsi" w:hAnsiTheme="minorHAnsi" w:cstheme="minorHAnsi"/>
          <w:i/>
          <w:iCs/>
          <w:sz w:val="22"/>
          <w:szCs w:val="22"/>
        </w:rPr>
        <w:t>globo</w:t>
      </w:r>
      <w:proofErr w:type="spellEnd"/>
      <w:r w:rsidRPr="000F0414">
        <w:rPr>
          <w:rFonts w:asciiTheme="minorHAnsi" w:hAnsiTheme="minorHAnsi" w:cstheme="minorHAnsi"/>
          <w:i/>
          <w:iCs/>
          <w:sz w:val="22"/>
          <w:szCs w:val="22"/>
        </w:rPr>
        <w:t xml:space="preserve"> als ‘ondernemingsgegevens’ kunnen beschouwd worden. Het gaat in het algemeen om vertrouwelijke en bedrijfseigen informatie die niet openbaar wordt gemaakt </w:t>
      </w:r>
      <w:proofErr w:type="gramStart"/>
      <w:r w:rsidRPr="000F0414">
        <w:rPr>
          <w:rFonts w:asciiTheme="minorHAnsi" w:hAnsiTheme="minorHAnsi" w:cstheme="minorHAnsi"/>
          <w:i/>
          <w:iCs/>
          <w:sz w:val="22"/>
          <w:szCs w:val="22"/>
        </w:rPr>
        <w:t>teneinde</w:t>
      </w:r>
      <w:proofErr w:type="gramEnd"/>
      <w:r w:rsidRPr="000F0414">
        <w:rPr>
          <w:rFonts w:asciiTheme="minorHAnsi" w:hAnsiTheme="minorHAnsi" w:cstheme="minorHAnsi"/>
          <w:i/>
          <w:iCs/>
          <w:sz w:val="22"/>
          <w:szCs w:val="22"/>
        </w:rPr>
        <w:t xml:space="preserve"> te vermijden een ongeoorloofd inzicht te geven in de bedrijfsvoering en de economische politiek van de landbouwer. De overheid zal de openbaarmaking van deze gegevens afwijzen als ze een vertrouwelijk karakter hebben, dat wil zeggen als na afweging blijkt dat het belang van de openbaarheid niet opweegt tegen de bescherming van het ondernemingsbelang van de landbouwer. Het moet gaan om de bescherming van een legitiem economisch belang, zijnde een belang dat gelegitimeerd is omwille van economische redenen. </w:t>
      </w:r>
    </w:p>
    <w:p w14:paraId="0CE8550A" w14:textId="77777777" w:rsidR="00D9720D" w:rsidRPr="000F0414" w:rsidRDefault="00D9720D" w:rsidP="00D9720D">
      <w:pPr>
        <w:pStyle w:val="Default"/>
        <w:pBdr>
          <w:left w:val="single" w:sz="4" w:space="4" w:color="auto"/>
        </w:pBdr>
        <w:ind w:left="1416"/>
        <w:jc w:val="both"/>
        <w:rPr>
          <w:rFonts w:asciiTheme="minorHAnsi" w:hAnsiTheme="minorHAnsi" w:cstheme="minorHAnsi"/>
          <w:i/>
          <w:iCs/>
          <w:sz w:val="22"/>
          <w:szCs w:val="22"/>
        </w:rPr>
      </w:pPr>
    </w:p>
    <w:p w14:paraId="48130A5E" w14:textId="77777777" w:rsidR="00D9720D" w:rsidRPr="000F0414" w:rsidRDefault="00D9720D" w:rsidP="00D9720D">
      <w:pPr>
        <w:pStyle w:val="Default"/>
        <w:pBdr>
          <w:left w:val="single" w:sz="4" w:space="4" w:color="auto"/>
        </w:pBdr>
        <w:ind w:left="1416"/>
        <w:jc w:val="both"/>
        <w:rPr>
          <w:rFonts w:asciiTheme="minorHAnsi" w:hAnsiTheme="minorHAnsi" w:cstheme="minorHAnsi"/>
          <w:sz w:val="22"/>
          <w:szCs w:val="22"/>
        </w:rPr>
      </w:pPr>
      <w:r w:rsidRPr="000F0414">
        <w:rPr>
          <w:rFonts w:asciiTheme="minorHAnsi" w:hAnsiTheme="minorHAnsi" w:cstheme="minorHAnsi"/>
          <w:i/>
          <w:iCs/>
          <w:sz w:val="22"/>
          <w:szCs w:val="22"/>
        </w:rPr>
        <w:t xml:space="preserve">De beroepsinstantie oordeelt dat de gevraagde mest- en veeteeltgegevens van een landbouwonderneming effectieve concurrentiegevoelige informatie bevatten, zeker wanneer er gevraagd wordt naar de specifieke bedrijfscijfers, zoals in voorliggend geval, van één bepaalde landbouwonderneming. Aantallen van dieren en mestproductie per diersoort geeft een inzicht in de schaal en de efficiëntie van het bedrijf, zeker wanneer daar ook gegevens naast gelegd worden uit bijvoorbeeld publiek consulteerbare jaarrekeningen. </w:t>
      </w:r>
      <w:proofErr w:type="gramStart"/>
      <w:r w:rsidRPr="000F0414">
        <w:rPr>
          <w:rFonts w:asciiTheme="minorHAnsi" w:hAnsiTheme="minorHAnsi" w:cstheme="minorHAnsi"/>
          <w:i/>
          <w:iCs/>
          <w:sz w:val="22"/>
          <w:szCs w:val="22"/>
        </w:rPr>
        <w:t>Tevens</w:t>
      </w:r>
      <w:proofErr w:type="gramEnd"/>
      <w:r w:rsidRPr="000F0414">
        <w:rPr>
          <w:rFonts w:asciiTheme="minorHAnsi" w:hAnsiTheme="minorHAnsi" w:cstheme="minorHAnsi"/>
          <w:i/>
          <w:iCs/>
          <w:sz w:val="22"/>
          <w:szCs w:val="22"/>
        </w:rPr>
        <w:t xml:space="preserve"> kan de openbaarmaking van mestafzet en intern gebruik strategische bedrijfsbeslissingen blootleggen, zoals over grondgebruik of over samenwerkingsverbanden met derden. Gegevens over mestafvoer kunnen </w:t>
      </w:r>
      <w:proofErr w:type="gramStart"/>
      <w:r w:rsidRPr="000F0414">
        <w:rPr>
          <w:rFonts w:asciiTheme="minorHAnsi" w:hAnsiTheme="minorHAnsi" w:cstheme="minorHAnsi"/>
          <w:i/>
          <w:iCs/>
          <w:sz w:val="22"/>
          <w:szCs w:val="22"/>
        </w:rPr>
        <w:t>tevens</w:t>
      </w:r>
      <w:proofErr w:type="gramEnd"/>
      <w:r w:rsidRPr="000F0414">
        <w:rPr>
          <w:rFonts w:asciiTheme="minorHAnsi" w:hAnsiTheme="minorHAnsi" w:cstheme="minorHAnsi"/>
          <w:i/>
          <w:iCs/>
          <w:sz w:val="22"/>
          <w:szCs w:val="22"/>
        </w:rPr>
        <w:t xml:space="preserve"> direct of indirect een beeld geven van contracten met afnemers, transporteurs en de daarmee gemoeide kosten. De beroepsinstantie beschouwt de gevraagde gegevens met betrekking tot het individuele bedrijf [] als vertrouwelijke bedrijfsinformatie.”</w:t>
      </w:r>
    </w:p>
    <w:p w14:paraId="1D8198A9" w14:textId="77777777" w:rsidR="00D9720D" w:rsidRDefault="00D9720D" w:rsidP="00D9720D">
      <w:pPr>
        <w:pStyle w:val="Lijstalinea"/>
        <w:spacing w:after="0" w:line="240" w:lineRule="auto"/>
        <w:ind w:left="709"/>
        <w:jc w:val="both"/>
        <w:rPr>
          <w:b/>
          <w:bCs/>
        </w:rPr>
      </w:pPr>
    </w:p>
    <w:p w14:paraId="0FCA3D13" w14:textId="77777777" w:rsidR="00D9720D" w:rsidRPr="000F0414" w:rsidRDefault="00D9720D" w:rsidP="00D9720D">
      <w:pPr>
        <w:pStyle w:val="Lijstalinea"/>
        <w:numPr>
          <w:ilvl w:val="2"/>
          <w:numId w:val="1"/>
        </w:numPr>
        <w:spacing w:after="0" w:line="240" w:lineRule="auto"/>
        <w:ind w:left="709" w:hanging="709"/>
        <w:jc w:val="both"/>
        <w:rPr>
          <w:b/>
          <w:bCs/>
        </w:rPr>
      </w:pPr>
      <w:r>
        <w:t xml:space="preserve">De lijn dat informatie over dieraantallen wel milieu-informatie is, maar geen informatie over emissies volgt ook de uitspraak van het </w:t>
      </w:r>
      <w:proofErr w:type="spellStart"/>
      <w:r w:rsidRPr="000F0414">
        <w:t>Verwaltungsgericht</w:t>
      </w:r>
      <w:proofErr w:type="spellEnd"/>
      <w:r w:rsidRPr="000F0414">
        <w:t xml:space="preserve"> Düsseldorf</w:t>
      </w:r>
      <w:r>
        <w:t xml:space="preserve"> (6 december 2017, </w:t>
      </w:r>
      <w:r w:rsidRPr="000F0414">
        <w:t>ECLI:</w:t>
      </w:r>
      <w:proofErr w:type="gramStart"/>
      <w:r w:rsidRPr="000F0414">
        <w:t>DE:VGD</w:t>
      </w:r>
      <w:proofErr w:type="gramEnd"/>
      <w:r w:rsidRPr="000F0414">
        <w:t>:2017:1206.29K2207.16.00</w:t>
      </w:r>
      <w:r>
        <w:t>):</w:t>
      </w:r>
    </w:p>
    <w:p w14:paraId="5C95C5C9" w14:textId="77777777" w:rsidR="00D9720D" w:rsidRDefault="00D9720D" w:rsidP="00D9720D">
      <w:pPr>
        <w:pStyle w:val="Lijstalinea"/>
        <w:spacing w:after="0" w:line="240" w:lineRule="auto"/>
        <w:ind w:left="709"/>
        <w:jc w:val="both"/>
      </w:pPr>
    </w:p>
    <w:p w14:paraId="78D19F96" w14:textId="77777777" w:rsidR="00D9720D" w:rsidRPr="000F0414" w:rsidRDefault="00D9720D" w:rsidP="00D9720D">
      <w:pPr>
        <w:pStyle w:val="Lijstalinea"/>
        <w:pBdr>
          <w:left w:val="single" w:sz="4" w:space="4" w:color="auto"/>
        </w:pBdr>
        <w:spacing w:after="0" w:line="240" w:lineRule="auto"/>
        <w:ind w:left="1416"/>
        <w:jc w:val="both"/>
        <w:rPr>
          <w:i/>
          <w:iCs/>
          <w:lang w:val="de-DE"/>
        </w:rPr>
      </w:pPr>
      <w:r w:rsidRPr="000F0414">
        <w:rPr>
          <w:i/>
          <w:iCs/>
          <w:lang w:val="de-DE"/>
        </w:rPr>
        <w:t>“Ausgehend von dieser Begriffsbestimmung stellen die gegebenenfalls in den Genehmigungsunterlagen befindlichen Emissionsschutzgutachten Umweltinformationen über Emissionen dar. Denn es ist davon auszugehen, dass sie konkrete Angaben über die Höhe und Zusammensetzung der voraussichtlich von den Tierhaltungsbetrieben ausgehenden und die Umwelt schädigenden Stoffe enthalten.</w:t>
      </w:r>
    </w:p>
    <w:p w14:paraId="1CE42917" w14:textId="77777777" w:rsidR="00D9720D" w:rsidRPr="000F0414" w:rsidRDefault="00D9720D" w:rsidP="00D9720D">
      <w:pPr>
        <w:pStyle w:val="Lijstalinea"/>
        <w:pBdr>
          <w:left w:val="single" w:sz="4" w:space="4" w:color="auto"/>
        </w:pBdr>
        <w:spacing w:after="0" w:line="240" w:lineRule="auto"/>
        <w:ind w:left="1416"/>
        <w:jc w:val="both"/>
        <w:rPr>
          <w:i/>
          <w:iCs/>
          <w:lang w:val="de-DE"/>
        </w:rPr>
      </w:pPr>
    </w:p>
    <w:p w14:paraId="78092AE6" w14:textId="77777777" w:rsidR="00D9720D" w:rsidRDefault="00D9720D" w:rsidP="00D9720D">
      <w:pPr>
        <w:pStyle w:val="Lijstalinea"/>
        <w:pBdr>
          <w:left w:val="single" w:sz="4" w:space="4" w:color="auto"/>
        </w:pBdr>
        <w:spacing w:after="0" w:line="240" w:lineRule="auto"/>
        <w:ind w:left="1416"/>
        <w:jc w:val="both"/>
        <w:rPr>
          <w:i/>
          <w:iCs/>
          <w:lang w:val="de-DE"/>
        </w:rPr>
      </w:pPr>
      <w:r w:rsidRPr="000F0414">
        <w:rPr>
          <w:i/>
          <w:iCs/>
          <w:lang w:val="de-DE"/>
        </w:rPr>
        <w:t xml:space="preserve">Soweit das Akteneinsichtsbegehren des Klägers darüber hinaus darauf gerichtet ist, Einsicht in die Genehmigungsbescheide, die genehmigten Tierplatzzahlen, die bauliche Gestaltung der jeweiligen Ställe und die gegebenenfalls vorzuhaltenden Abluftanlagen zu erhalten, betrifft dies – wenn überhaupt – lediglich Vorgänge innerhalb einer emittierenden Anlage, durch die die später in die Umwelt abgegebenen Stoffe entstehen oder deren Zusammensetzung und Menge beeinflusst werden. Es handelt </w:t>
      </w:r>
      <w:r w:rsidRPr="000F0414">
        <w:rPr>
          <w:i/>
          <w:iCs/>
          <w:lang w:val="de-DE"/>
        </w:rPr>
        <w:lastRenderedPageBreak/>
        <w:t>sich mithin nicht um Umweltinformationen über Emissionen im Sinne des § 9 Abs. 1 Satz 2 UIG (Bund).</w:t>
      </w:r>
      <w:r>
        <w:rPr>
          <w:i/>
          <w:iCs/>
          <w:lang w:val="de-DE"/>
        </w:rPr>
        <w:t>“</w:t>
      </w:r>
    </w:p>
    <w:p w14:paraId="12BFA7B4" w14:textId="77777777" w:rsidR="00D9720D" w:rsidRDefault="00D9720D" w:rsidP="00D9720D">
      <w:pPr>
        <w:pStyle w:val="Lijstalinea"/>
        <w:pBdr>
          <w:left w:val="single" w:sz="4" w:space="4" w:color="auto"/>
        </w:pBdr>
        <w:spacing w:after="0" w:line="240" w:lineRule="auto"/>
        <w:ind w:left="1416"/>
        <w:jc w:val="both"/>
        <w:rPr>
          <w:i/>
          <w:iCs/>
          <w:lang w:val="de-DE"/>
        </w:rPr>
      </w:pPr>
    </w:p>
    <w:p w14:paraId="5D915877" w14:textId="77777777" w:rsidR="00D9720D" w:rsidRPr="00190A2C" w:rsidRDefault="00D9720D" w:rsidP="00D9720D">
      <w:pPr>
        <w:pStyle w:val="Lijstalinea"/>
        <w:pBdr>
          <w:left w:val="single" w:sz="4" w:space="4" w:color="auto"/>
        </w:pBdr>
        <w:spacing w:after="0" w:line="240" w:lineRule="auto"/>
        <w:ind w:left="1416"/>
        <w:jc w:val="both"/>
      </w:pPr>
      <w:r w:rsidRPr="00190A2C">
        <w:t>Vertaling:</w:t>
      </w:r>
    </w:p>
    <w:p w14:paraId="2BFBB04A" w14:textId="77777777" w:rsidR="00D9720D" w:rsidRPr="00190A2C" w:rsidRDefault="00D9720D" w:rsidP="00D9720D">
      <w:pPr>
        <w:pStyle w:val="Lijstalinea"/>
        <w:pBdr>
          <w:left w:val="single" w:sz="4" w:space="4" w:color="auto"/>
        </w:pBdr>
        <w:spacing w:after="0" w:line="240" w:lineRule="auto"/>
        <w:ind w:left="1416"/>
        <w:jc w:val="both"/>
      </w:pPr>
    </w:p>
    <w:p w14:paraId="71A6BF4D" w14:textId="77777777" w:rsidR="00D9720D" w:rsidRPr="00555932" w:rsidRDefault="00D9720D" w:rsidP="00D9720D">
      <w:pPr>
        <w:pStyle w:val="Lijstalinea"/>
        <w:pBdr>
          <w:left w:val="single" w:sz="4" w:space="4" w:color="auto"/>
        </w:pBdr>
        <w:spacing w:after="0" w:line="240" w:lineRule="auto"/>
        <w:ind w:left="1416"/>
        <w:jc w:val="both"/>
        <w:rPr>
          <w:i/>
          <w:iCs/>
        </w:rPr>
      </w:pPr>
      <w:r w:rsidRPr="00555932">
        <w:rPr>
          <w:i/>
          <w:iCs/>
        </w:rPr>
        <w:t xml:space="preserve">„Op basis van deze definitie bevatten de emissiebeheersingsrapporten die in de vergunningsdocumenten kunnen worden opgenomen, milieu-informatie over emissies. Er kan namelijk van worden uitgegaan dat ze concrete informatie bevatten over de hoeveelheid en samenstelling van de stoffen die naar verwachting door veehouderijen worden uitgestoten en die schadelijk zijn voor het milieu. </w:t>
      </w:r>
    </w:p>
    <w:p w14:paraId="2505E48F" w14:textId="77777777" w:rsidR="00D9720D" w:rsidRPr="00555932" w:rsidRDefault="00D9720D" w:rsidP="00D9720D">
      <w:pPr>
        <w:pStyle w:val="Lijstalinea"/>
        <w:pBdr>
          <w:left w:val="single" w:sz="4" w:space="4" w:color="auto"/>
        </w:pBdr>
        <w:spacing w:after="0" w:line="240" w:lineRule="auto"/>
        <w:ind w:left="1416"/>
        <w:jc w:val="both"/>
      </w:pPr>
      <w:r w:rsidRPr="00555932">
        <w:rPr>
          <w:i/>
          <w:iCs/>
        </w:rPr>
        <w:t xml:space="preserve">Voor zover het verzoek van eiser om inzage in de dossiers </w:t>
      </w:r>
      <w:proofErr w:type="gramStart"/>
      <w:r w:rsidRPr="00555932">
        <w:rPr>
          <w:i/>
          <w:iCs/>
        </w:rPr>
        <w:t>tevens</w:t>
      </w:r>
      <w:proofErr w:type="gramEnd"/>
      <w:r w:rsidRPr="00555932">
        <w:rPr>
          <w:i/>
          <w:iCs/>
        </w:rPr>
        <w:t xml:space="preserve"> gericht is op het verkrijgen van inzage in de vergunningen, de goedgekeurde capaciteit van de dieren, de bouwkundige uitvoering van de betreffende stallen en eventueel benodigde afzuigsystemen, betreft dit – </w:t>
      </w:r>
      <w:proofErr w:type="gramStart"/>
      <w:r w:rsidRPr="00555932">
        <w:rPr>
          <w:i/>
          <w:iCs/>
        </w:rPr>
        <w:t>indien</w:t>
      </w:r>
      <w:proofErr w:type="gramEnd"/>
      <w:r w:rsidRPr="00555932">
        <w:rPr>
          <w:i/>
          <w:iCs/>
        </w:rPr>
        <w:t xml:space="preserve"> überhaupt – uitsluitend processen binnen een emitterende installatie die de stoffen creëren die vervolgens in het milieu vrijkomen of de samenstelling en hoeveelheid ervan beïnvloeden. Het vormt </w:t>
      </w:r>
      <w:proofErr w:type="gramStart"/>
      <w:r w:rsidRPr="00555932">
        <w:rPr>
          <w:i/>
          <w:iCs/>
        </w:rPr>
        <w:t>derhalve</w:t>
      </w:r>
      <w:proofErr w:type="gramEnd"/>
      <w:r w:rsidRPr="00555932">
        <w:rPr>
          <w:i/>
          <w:iCs/>
        </w:rPr>
        <w:t xml:space="preserve"> geen milieu-informatie over emissies in de zin van artikel 9 (1) zin 2 van de Federale Milieuwet (UIG).”</w:t>
      </w:r>
    </w:p>
    <w:p w14:paraId="6E1E17E4" w14:textId="77777777" w:rsidR="00D9720D" w:rsidRDefault="00D9720D" w:rsidP="00D9720D">
      <w:pPr>
        <w:pStyle w:val="Lijstalinea"/>
        <w:spacing w:after="0" w:line="240" w:lineRule="auto"/>
        <w:ind w:left="709"/>
        <w:jc w:val="both"/>
        <w:rPr>
          <w:b/>
          <w:bCs/>
        </w:rPr>
      </w:pPr>
    </w:p>
    <w:p w14:paraId="091B75C0" w14:textId="573BC865" w:rsidR="003078F4" w:rsidRPr="000F0414" w:rsidRDefault="003078F4" w:rsidP="003078F4">
      <w:pPr>
        <w:pStyle w:val="Lijstalinea"/>
        <w:numPr>
          <w:ilvl w:val="2"/>
          <w:numId w:val="1"/>
        </w:numPr>
        <w:spacing w:after="0" w:line="240" w:lineRule="auto"/>
        <w:ind w:left="709" w:hanging="709"/>
        <w:jc w:val="both"/>
        <w:rPr>
          <w:b/>
          <w:bCs/>
        </w:rPr>
      </w:pPr>
      <w:r>
        <w:t xml:space="preserve">De lijn dat informatie over dieraantallen wel milieu-informatie is, maar geen informatie over emissies volgt ook de uitspraak van de Rechtbank Amsterdam (Rechtbank Amsterdam 12 september 2018, </w:t>
      </w:r>
      <w:r w:rsidRPr="00B23C90">
        <w:t>ECLI:</w:t>
      </w:r>
      <w:proofErr w:type="gramStart"/>
      <w:r w:rsidRPr="00B23C90">
        <w:t>NL:RBAMS</w:t>
      </w:r>
      <w:proofErr w:type="gramEnd"/>
      <w:r w:rsidRPr="00B23C90">
        <w:t>:2018:6809</w:t>
      </w:r>
      <w:r>
        <w:t>):</w:t>
      </w:r>
    </w:p>
    <w:p w14:paraId="182DEDFE" w14:textId="77777777" w:rsidR="003078F4" w:rsidRDefault="003078F4" w:rsidP="00D9720D">
      <w:pPr>
        <w:pStyle w:val="Lijstalinea"/>
        <w:spacing w:after="0" w:line="240" w:lineRule="auto"/>
        <w:ind w:left="709"/>
        <w:jc w:val="both"/>
        <w:rPr>
          <w:b/>
          <w:bCs/>
        </w:rPr>
      </w:pPr>
    </w:p>
    <w:p w14:paraId="55FD13A9" w14:textId="46D61258" w:rsidR="003078F4" w:rsidRPr="003078F4" w:rsidRDefault="003078F4" w:rsidP="003078F4">
      <w:pPr>
        <w:pStyle w:val="Lijstalinea"/>
        <w:pBdr>
          <w:left w:val="single" w:sz="4" w:space="4" w:color="auto"/>
        </w:pBdr>
        <w:spacing w:after="0" w:line="240" w:lineRule="auto"/>
        <w:ind w:left="1416"/>
        <w:jc w:val="both"/>
        <w:rPr>
          <w:i/>
          <w:iCs/>
        </w:rPr>
      </w:pPr>
      <w:r>
        <w:rPr>
          <w:i/>
          <w:iCs/>
        </w:rPr>
        <w:t>“</w:t>
      </w:r>
      <w:r w:rsidRPr="003078F4">
        <w:rPr>
          <w:i/>
          <w:iCs/>
        </w:rPr>
        <w:t>8. De rechtbank wijst er ten overvloede nog op dat het Hof van Justitie in hetzelfde arrest ook waarschuwt voor een al te ruime uitleg van het begrip ‘informatie over emissies in het milieu’. Een te ruime uitleg zou “de mogelijkheid (…) voor de instellingen om te weigeren milieu-informatie openbaar te maken omdat een dergelijke openbaarmaking zou leiden tot de ondermijning van de bescherming van commerciële belangen van een bepaalde natuurlijke of rechtspersoon, elke nuttige werking ontnemen en een bedreiging vormen voor het evenwicht dat de Uniewetgever heeft willen verzekeren tussen de doelstelling van transparantie en de bescherming van die belangen. Zij zou ook op onevenredige wijze afbreuk doen aan de bescherming van de door artikel 339 VWEU gewaarborgde geheimhoudingsplicht.”6 Ook hieruit maakt de rechtbank op dat het niet de bedoeling is om alle milieu-informatie onder het begrip ‘informatie over emissies in het milieu’ te brengen.</w:t>
      </w:r>
    </w:p>
    <w:p w14:paraId="68E82ADC" w14:textId="77777777" w:rsidR="003078F4" w:rsidRPr="003078F4" w:rsidRDefault="003078F4" w:rsidP="003078F4">
      <w:pPr>
        <w:pStyle w:val="Lijstalinea"/>
        <w:pBdr>
          <w:left w:val="single" w:sz="4" w:space="4" w:color="auto"/>
        </w:pBdr>
        <w:spacing w:after="0" w:line="240" w:lineRule="auto"/>
        <w:ind w:left="1416"/>
        <w:jc w:val="both"/>
        <w:rPr>
          <w:i/>
          <w:iCs/>
        </w:rPr>
      </w:pPr>
    </w:p>
    <w:p w14:paraId="2DC12C6A" w14:textId="77777777" w:rsidR="003078F4" w:rsidRPr="003078F4" w:rsidRDefault="003078F4" w:rsidP="003078F4">
      <w:pPr>
        <w:pStyle w:val="Lijstalinea"/>
        <w:pBdr>
          <w:left w:val="single" w:sz="4" w:space="4" w:color="auto"/>
        </w:pBdr>
        <w:spacing w:after="0" w:line="240" w:lineRule="auto"/>
        <w:ind w:left="1416"/>
        <w:jc w:val="both"/>
        <w:rPr>
          <w:i/>
          <w:iCs/>
        </w:rPr>
      </w:pPr>
      <w:r w:rsidRPr="003078F4">
        <w:rPr>
          <w:i/>
          <w:iCs/>
        </w:rPr>
        <w:t xml:space="preserve">9. Omdat de dierenaantallen en aantallen huisvestingsplaatsen wel als milieu-informatie zijn aan te merken, diende verweerder op grond van artikel 10, vierde lid, van de </w:t>
      </w:r>
      <w:proofErr w:type="spellStart"/>
      <w:r w:rsidRPr="003078F4">
        <w:rPr>
          <w:i/>
          <w:iCs/>
        </w:rPr>
        <w:t>Wob</w:t>
      </w:r>
      <w:proofErr w:type="spellEnd"/>
      <w:r w:rsidRPr="003078F4">
        <w:rPr>
          <w:i/>
          <w:iCs/>
        </w:rPr>
        <w:t xml:space="preserve"> het belang van openbaarmaking daarvan af te wegen tegen het belang van bescherming van de bedrijfsgegevens. Verweerder heeft in zijn besluitvorming, in het verweerschrift en ter zitting wel belangen genoemd, maar niet gebleken is van een belangenafweging, waaruit blijkt dat het in dit geval gaat om concurrentiegevoelige gegevens en dat openbaarmaking gevolgen kan hebben voor concurrentieverhoudingen. Deze weigeringsgrond is daarom door verweerder niet correct toegepast. Voordat de rechtbank concludeert wat hiervan de consequenties voor het bestreden besluit zijn, zal de rechtbank eerst de weigeringsgrond uit artikel 10, zevende lid, aanhef en onder b, van de </w:t>
      </w:r>
      <w:proofErr w:type="spellStart"/>
      <w:r w:rsidRPr="003078F4">
        <w:rPr>
          <w:i/>
          <w:iCs/>
        </w:rPr>
        <w:t>Wob</w:t>
      </w:r>
      <w:proofErr w:type="spellEnd"/>
      <w:r w:rsidRPr="003078F4">
        <w:rPr>
          <w:i/>
          <w:iCs/>
        </w:rPr>
        <w:t xml:space="preserve"> beoordelen. Als deze weigeringsgrond </w:t>
      </w:r>
      <w:proofErr w:type="gramStart"/>
      <w:r w:rsidRPr="003078F4">
        <w:rPr>
          <w:i/>
          <w:iCs/>
        </w:rPr>
        <w:t>stand houdt</w:t>
      </w:r>
      <w:proofErr w:type="gramEnd"/>
      <w:r w:rsidRPr="003078F4">
        <w:rPr>
          <w:i/>
          <w:iCs/>
        </w:rPr>
        <w:t>, is de weigering tot openbaarmaking van de dierenaantallen en aantallen huisvestingsplaatsen, als zijnde milieu-informatie, namelijk op die grond gerechtvaardigd.</w:t>
      </w:r>
    </w:p>
    <w:p w14:paraId="66D1A6F6" w14:textId="77777777" w:rsidR="003078F4" w:rsidRPr="003078F4" w:rsidRDefault="003078F4" w:rsidP="003078F4">
      <w:pPr>
        <w:pStyle w:val="Lijstalinea"/>
        <w:pBdr>
          <w:left w:val="single" w:sz="4" w:space="4" w:color="auto"/>
        </w:pBdr>
        <w:spacing w:after="0" w:line="240" w:lineRule="auto"/>
        <w:ind w:left="1416"/>
        <w:jc w:val="both"/>
        <w:rPr>
          <w:i/>
          <w:iCs/>
        </w:rPr>
      </w:pPr>
    </w:p>
    <w:p w14:paraId="13FF1E03" w14:textId="77777777" w:rsidR="003078F4" w:rsidRPr="003078F4" w:rsidRDefault="003078F4" w:rsidP="003078F4">
      <w:pPr>
        <w:pStyle w:val="Lijstalinea"/>
        <w:pBdr>
          <w:left w:val="single" w:sz="4" w:space="4" w:color="auto"/>
        </w:pBdr>
        <w:spacing w:after="0" w:line="240" w:lineRule="auto"/>
        <w:ind w:left="1416"/>
        <w:jc w:val="both"/>
        <w:rPr>
          <w:i/>
          <w:iCs/>
        </w:rPr>
      </w:pPr>
      <w:r w:rsidRPr="003078F4">
        <w:rPr>
          <w:i/>
          <w:iCs/>
        </w:rPr>
        <w:lastRenderedPageBreak/>
        <w:t xml:space="preserve">10. De rechtbank is van oordeel dat verweerder de weigeringsgrond uit artikel 10, zevende lid, aanhef en onder b, van de </w:t>
      </w:r>
      <w:proofErr w:type="spellStart"/>
      <w:r w:rsidRPr="003078F4">
        <w:rPr>
          <w:i/>
          <w:iCs/>
        </w:rPr>
        <w:t>Wob</w:t>
      </w:r>
      <w:proofErr w:type="spellEnd"/>
      <w:r w:rsidRPr="003078F4">
        <w:rPr>
          <w:i/>
          <w:iCs/>
        </w:rPr>
        <w:t xml:space="preserve"> niet kon inroepen. Naar het oordeel van de rechtbank heeft verweerder niet aannemelijk gemaakt dat het openbaar maken van de dierenaantallen of aantallen huisvestingsplaatsen het belang van beveiliging of het voorkomen van sabotage van de bedrijven zodanig raakt dat dat belang zwaarder dient te wegen dan het belang van openbaarmaking van de betreffende aantallen. De rechtbank volgt verweerder wel in zijn standpunt dat gezien de uitspraak van de Afdeling van 18 april 20187 aangenomen mag worden dat de vrees voor dierenrechtenactivisme nog steeds actueel is, maar niet blijkt dat deze vrees meebrengt dat door de openbaarmaking van de dierenaantallen en aantallen huisvestingsplaatsen de veiligheid van de pelsdierhouderijen in het geding komt, of in ieder geval zodanig dat het belang van de beveiliging van pelsdierhouderijen en het voorkomen van sabotage zwaarder zou moeten wegen dat het publieke belang van openbaarmaking. Verweerder kon deze weigeringsgrond daarom niet ten grondslag leggen aan het besluit.</w:t>
      </w:r>
    </w:p>
    <w:p w14:paraId="3D2F091F" w14:textId="77777777" w:rsidR="003078F4" w:rsidRPr="003078F4" w:rsidRDefault="003078F4" w:rsidP="003078F4">
      <w:pPr>
        <w:pStyle w:val="Lijstalinea"/>
        <w:pBdr>
          <w:left w:val="single" w:sz="4" w:space="4" w:color="auto"/>
        </w:pBdr>
        <w:spacing w:after="0" w:line="240" w:lineRule="auto"/>
        <w:ind w:left="1416"/>
        <w:jc w:val="both"/>
        <w:rPr>
          <w:i/>
          <w:iCs/>
        </w:rPr>
      </w:pPr>
    </w:p>
    <w:p w14:paraId="507DAE4C" w14:textId="77777777" w:rsidR="003078F4" w:rsidRPr="003078F4" w:rsidRDefault="003078F4" w:rsidP="003078F4">
      <w:pPr>
        <w:pStyle w:val="Lijstalinea"/>
        <w:pBdr>
          <w:left w:val="single" w:sz="4" w:space="4" w:color="auto"/>
        </w:pBdr>
        <w:spacing w:after="0" w:line="240" w:lineRule="auto"/>
        <w:ind w:left="1416"/>
        <w:jc w:val="both"/>
        <w:rPr>
          <w:i/>
          <w:iCs/>
        </w:rPr>
      </w:pPr>
      <w:r w:rsidRPr="003078F4">
        <w:rPr>
          <w:i/>
          <w:iCs/>
        </w:rPr>
        <w:t>11. De conclusie van de rechtbank luidt dat ten aanzien van de dierenaantallen en aantallen huisvestingsplaatsen de weigeringsgronden op een onjuiste wijze zijn toegepast. Het beroep is om die reden gegrond. De rechtbank zal hieronder de weigering tot openbaarmaking van de overige gegevens beoordelen.</w:t>
      </w:r>
    </w:p>
    <w:p w14:paraId="009470C1" w14:textId="77777777" w:rsidR="003078F4" w:rsidRPr="003078F4" w:rsidRDefault="003078F4" w:rsidP="003078F4">
      <w:pPr>
        <w:pStyle w:val="Lijstalinea"/>
        <w:pBdr>
          <w:left w:val="single" w:sz="4" w:space="4" w:color="auto"/>
        </w:pBdr>
        <w:spacing w:after="0" w:line="240" w:lineRule="auto"/>
        <w:ind w:left="1416"/>
        <w:jc w:val="both"/>
        <w:rPr>
          <w:i/>
          <w:iCs/>
        </w:rPr>
      </w:pPr>
    </w:p>
    <w:p w14:paraId="59B6591B" w14:textId="77777777" w:rsidR="003078F4" w:rsidRPr="003078F4" w:rsidRDefault="003078F4" w:rsidP="003078F4">
      <w:pPr>
        <w:pStyle w:val="Lijstalinea"/>
        <w:pBdr>
          <w:left w:val="single" w:sz="4" w:space="4" w:color="auto"/>
        </w:pBdr>
        <w:spacing w:after="0" w:line="240" w:lineRule="auto"/>
        <w:ind w:left="1416"/>
        <w:jc w:val="both"/>
        <w:rPr>
          <w:b/>
          <w:bCs/>
          <w:i/>
          <w:iCs/>
        </w:rPr>
      </w:pPr>
      <w:r w:rsidRPr="003078F4">
        <w:rPr>
          <w:b/>
          <w:bCs/>
          <w:i/>
          <w:iCs/>
        </w:rPr>
        <w:t>Adresgegevens, KvK-nummers, BRS-nummers en overige registratienummers</w:t>
      </w:r>
    </w:p>
    <w:p w14:paraId="4385351B" w14:textId="77777777" w:rsidR="003078F4" w:rsidRPr="003078F4" w:rsidRDefault="003078F4" w:rsidP="003078F4">
      <w:pPr>
        <w:pStyle w:val="Lijstalinea"/>
        <w:pBdr>
          <w:left w:val="single" w:sz="4" w:space="4" w:color="auto"/>
        </w:pBdr>
        <w:spacing w:after="0" w:line="240" w:lineRule="auto"/>
        <w:ind w:left="1416"/>
        <w:jc w:val="both"/>
        <w:rPr>
          <w:i/>
          <w:iCs/>
        </w:rPr>
      </w:pPr>
      <w:r w:rsidRPr="003078F4">
        <w:rPr>
          <w:i/>
          <w:iCs/>
        </w:rPr>
        <w:t xml:space="preserve">12. Verweerder heeft aan de weigering tot openbaarmaking van de woonadresgegevens de weigeringsgrond uit artikel 10, tweede lid, aanhef onder e, van de </w:t>
      </w:r>
      <w:proofErr w:type="spellStart"/>
      <w:r w:rsidRPr="003078F4">
        <w:rPr>
          <w:i/>
          <w:iCs/>
        </w:rPr>
        <w:t>Wob</w:t>
      </w:r>
      <w:proofErr w:type="spellEnd"/>
      <w:r w:rsidRPr="003078F4">
        <w:rPr>
          <w:i/>
          <w:iCs/>
        </w:rPr>
        <w:t xml:space="preserve"> ten grondslag gelegd. Op grond van deze bepaling blijft informatie achterwege voor zover het belang van openbaarmaking niet opweegt tegen het belang van de eerbiediging van de persoonlijke levenssfeer. Eiseressen stellen dat sprake is van emissiegegevens zodat deze informatie op grond van artikel 10, vierde lid, van de </w:t>
      </w:r>
      <w:proofErr w:type="spellStart"/>
      <w:r w:rsidRPr="003078F4">
        <w:rPr>
          <w:i/>
          <w:iCs/>
        </w:rPr>
        <w:t>Wob</w:t>
      </w:r>
      <w:proofErr w:type="spellEnd"/>
      <w:r w:rsidRPr="003078F4">
        <w:rPr>
          <w:i/>
          <w:iCs/>
        </w:rPr>
        <w:t xml:space="preserve"> niet geweigerd kon worden. Eiseressen verwijzen hiervoor naar de eerdergenoemde uitspraak van de rechtbank Gelderland. De rechtbank is van oordeel dat woonadressen niet als milieu-informatie kunnen worden aangemerkt, omdat deze gegevens niet onder de definitie van artikel 19.1a, eerste lid, van de </w:t>
      </w:r>
      <w:proofErr w:type="spellStart"/>
      <w:r w:rsidRPr="003078F4">
        <w:rPr>
          <w:i/>
          <w:iCs/>
        </w:rPr>
        <w:t>Wm</w:t>
      </w:r>
      <w:proofErr w:type="spellEnd"/>
      <w:r w:rsidRPr="003078F4">
        <w:rPr>
          <w:i/>
          <w:iCs/>
        </w:rPr>
        <w:t xml:space="preserve"> kunnen worden gebracht. Om die reden kan ook geen sprake zijn van informatie over emissies. De rechtbank is van oordeel dat verweerder, bij de belangenafweging ten aanzien van het al dan niet openbaar maken van de woonadresgegevens, in redelijkheid het belang van eerbiediging – en bescherming – van de persoonlijke levenssfeer van bewoners van die adressen zwaarder heeft kunnen laten wegen dan het belang van openbaarmaking van die gegevens. De beroepsgrond van eiseressen op dit punt slaagt daarom niet.</w:t>
      </w:r>
    </w:p>
    <w:p w14:paraId="68531902" w14:textId="77777777" w:rsidR="003078F4" w:rsidRPr="003078F4" w:rsidRDefault="003078F4" w:rsidP="003078F4">
      <w:pPr>
        <w:pStyle w:val="Lijstalinea"/>
        <w:pBdr>
          <w:left w:val="single" w:sz="4" w:space="4" w:color="auto"/>
        </w:pBdr>
        <w:spacing w:after="0" w:line="240" w:lineRule="auto"/>
        <w:ind w:left="1416"/>
        <w:jc w:val="both"/>
        <w:rPr>
          <w:i/>
          <w:iCs/>
        </w:rPr>
      </w:pPr>
    </w:p>
    <w:p w14:paraId="3BF38AAA" w14:textId="094FCF1A" w:rsidR="003078F4" w:rsidRDefault="003078F4" w:rsidP="003078F4">
      <w:pPr>
        <w:pStyle w:val="Lijstalinea"/>
        <w:pBdr>
          <w:left w:val="single" w:sz="4" w:space="4" w:color="auto"/>
        </w:pBdr>
        <w:spacing w:after="0" w:line="240" w:lineRule="auto"/>
        <w:ind w:left="1416"/>
        <w:jc w:val="both"/>
        <w:rPr>
          <w:b/>
          <w:bCs/>
        </w:rPr>
      </w:pPr>
      <w:r w:rsidRPr="003078F4">
        <w:rPr>
          <w:i/>
          <w:iCs/>
        </w:rPr>
        <w:t xml:space="preserve">13. Ten aanzien van overige gegevens – de bedrijfsadresgegevens, KvK-nummers, BRS-nummers heeft verweerder de weigeringsgrond uit artikel 10, tweede lid, aanhef en onder g, van de </w:t>
      </w:r>
      <w:proofErr w:type="spellStart"/>
      <w:r w:rsidRPr="003078F4">
        <w:rPr>
          <w:i/>
          <w:iCs/>
        </w:rPr>
        <w:t>Wob</w:t>
      </w:r>
      <w:proofErr w:type="spellEnd"/>
      <w:r w:rsidRPr="003078F4">
        <w:rPr>
          <w:i/>
          <w:iCs/>
        </w:rPr>
        <w:t xml:space="preserve"> toegepast. Eiseressen stellen dat ook deze gegevens als emissie-gegevens moeten worden aangemerkt en daarom niet geweigerd mochten worden. Daarnaast stellen zij dat van een onevenredige benadeling, als bedoeld in artikel 10, tweede lid, aanhef en onder g, van de </w:t>
      </w:r>
      <w:proofErr w:type="spellStart"/>
      <w:r w:rsidRPr="003078F4">
        <w:rPr>
          <w:i/>
          <w:iCs/>
        </w:rPr>
        <w:t>Wob</w:t>
      </w:r>
      <w:proofErr w:type="spellEnd"/>
      <w:r w:rsidRPr="003078F4">
        <w:rPr>
          <w:i/>
          <w:iCs/>
        </w:rPr>
        <w:t xml:space="preserve"> geen sprake is. De rechtbank is van oordeel dat ook deze adresgegevens, KvK-nummers en BRS-nummers – andere registratienummers zoals eiseressen noemen heeft de rechtbank niet in de rapporten aangetroffen – geen milieu-informatie in de zin van artikel 19.1.a, eerste lid, van de </w:t>
      </w:r>
      <w:proofErr w:type="spellStart"/>
      <w:r w:rsidRPr="003078F4">
        <w:rPr>
          <w:i/>
          <w:iCs/>
        </w:rPr>
        <w:t>Wm</w:t>
      </w:r>
      <w:proofErr w:type="spellEnd"/>
      <w:r w:rsidRPr="003078F4">
        <w:rPr>
          <w:i/>
          <w:iCs/>
        </w:rPr>
        <w:t xml:space="preserve"> zijn. Deze gegevens betreffen geen informatie over factoren die elementen van het milieu aantasten en zien evenmin op een activiteit die een invloed op die elementen of factoren heeft. Omdat het geen milieu-informatie betreft, is ook geen sprake van emissiegegevens. Verweerder stelt dat openbaarmaking zal leiden tot onevenredige </w:t>
      </w:r>
      <w:r w:rsidRPr="003078F4">
        <w:rPr>
          <w:i/>
          <w:iCs/>
        </w:rPr>
        <w:lastRenderedPageBreak/>
        <w:t xml:space="preserve">benadeling van de pelsdierhouderijen, houders en personen waar deze informatie betrekking op heeft, omdat de gegevens direct verwijzen naar de pelsdierhouderijen, herleidbaar zijn naar de locaties daarvan en/of naar daarbij betrokken personen zodat zij rechtstreeks te benaderen zijn. Verweerder verwijst ter onderbouwing naar incidenten die in 2009 en 2015 plaatsvonden bij pelsdierhouderijen en naar uitspraken van de Afdeling, waaronder de eerdergenoemde uitspraak van 18 april 2018, waarin de vrees voor dierenrechtenactivisme reëel wordt geacht. De rechtbank is van oordeel dat verweerder het belang van het voorkomen van onevenredige benadeling in redelijkheid zwaarder mocht laten wegen dan het belang van openbaarmaking. Gezien de genoemde uitspraak van de Afdeling is de vrees gerechtvaardigd dat bij het bekend worden van adresgegevens en namen van bij pelsdierhouderijen betrokken personen het risico reëel te achten is dat pelsdierhouderijen en deze personen benaderd worden door </w:t>
      </w:r>
      <w:proofErr w:type="spellStart"/>
      <w:r w:rsidRPr="003078F4">
        <w:rPr>
          <w:i/>
          <w:iCs/>
        </w:rPr>
        <w:t>kwaadwillenden</w:t>
      </w:r>
      <w:proofErr w:type="spellEnd"/>
      <w:r w:rsidRPr="003078F4">
        <w:rPr>
          <w:i/>
          <w:iCs/>
        </w:rPr>
        <w:t>. Deze beroepsgrond van eiseressen op dit punt slaagt evenmin.</w:t>
      </w:r>
      <w:r>
        <w:rPr>
          <w:i/>
          <w:iCs/>
        </w:rPr>
        <w:t>”</w:t>
      </w:r>
    </w:p>
    <w:p w14:paraId="208FA7F1" w14:textId="77777777" w:rsidR="003078F4" w:rsidRPr="00555932" w:rsidRDefault="003078F4" w:rsidP="003078F4">
      <w:pPr>
        <w:pStyle w:val="Lijstalinea"/>
        <w:spacing w:after="0" w:line="240" w:lineRule="auto"/>
        <w:ind w:left="709"/>
        <w:jc w:val="both"/>
        <w:rPr>
          <w:b/>
          <w:bCs/>
        </w:rPr>
      </w:pPr>
    </w:p>
    <w:p w14:paraId="533562EA" w14:textId="7106BCAB" w:rsidR="002A23FD" w:rsidRDefault="00377C2A" w:rsidP="00D9720D">
      <w:pPr>
        <w:pStyle w:val="Lijstalinea"/>
        <w:numPr>
          <w:ilvl w:val="1"/>
          <w:numId w:val="1"/>
        </w:numPr>
        <w:spacing w:after="0" w:line="240" w:lineRule="auto"/>
        <w:ind w:left="709" w:hanging="709"/>
        <w:jc w:val="both"/>
        <w:rPr>
          <w:b/>
          <w:bCs/>
        </w:rPr>
      </w:pPr>
      <w:r w:rsidRPr="00377C2A">
        <w:rPr>
          <w:b/>
          <w:bCs/>
        </w:rPr>
        <w:t>Onderneming actief, gestopt of tijdelijk niet actief</w:t>
      </w:r>
      <w:r w:rsidR="00466756">
        <w:rPr>
          <w:b/>
          <w:bCs/>
        </w:rPr>
        <w:t xml:space="preserve"> en jaar ingebruikname</w:t>
      </w:r>
    </w:p>
    <w:p w14:paraId="0E81A14C" w14:textId="77777777" w:rsidR="0034099C" w:rsidRDefault="0034099C" w:rsidP="0034099C">
      <w:pPr>
        <w:pStyle w:val="Lijstalinea"/>
        <w:spacing w:after="0" w:line="240" w:lineRule="auto"/>
        <w:ind w:left="709"/>
        <w:jc w:val="both"/>
        <w:rPr>
          <w:b/>
          <w:bCs/>
        </w:rPr>
      </w:pPr>
    </w:p>
    <w:p w14:paraId="49C974CA" w14:textId="77AA0CA8" w:rsidR="00377C2A" w:rsidRPr="0034099C" w:rsidRDefault="00602359" w:rsidP="0034099C">
      <w:pPr>
        <w:pStyle w:val="Lijstalinea"/>
        <w:numPr>
          <w:ilvl w:val="2"/>
          <w:numId w:val="1"/>
        </w:numPr>
        <w:spacing w:after="0" w:line="240" w:lineRule="auto"/>
        <w:ind w:left="709" w:hanging="709"/>
        <w:jc w:val="both"/>
      </w:pPr>
      <w:r w:rsidRPr="0034099C">
        <w:t xml:space="preserve">De bedrijfsstatus van een bedrijf op één bepaald moment betreft geen milieu-informatie die ziet op emissies in het milieu. </w:t>
      </w:r>
      <w:r w:rsidR="00466756">
        <w:t xml:space="preserve">Ditzelfde geldt ook voor het jaar ingebruikname van de stal. </w:t>
      </w:r>
      <w:r w:rsidRPr="0034099C">
        <w:t>Voor zover bezwaarden weten is dat ook nooit door de Afdeling als zodanig bevestigd. Bezwaarden betwisten hierbij dat daarvan sprake is en wensen hierover eerst duidelijkheid te verkrijgen door daarover een oordeel te ontvangen van de bestuursrechter.</w:t>
      </w:r>
    </w:p>
    <w:p w14:paraId="26F039BE" w14:textId="77777777" w:rsidR="0034099C" w:rsidRPr="00602359" w:rsidRDefault="0034099C" w:rsidP="0034099C">
      <w:pPr>
        <w:pStyle w:val="Lijstalinea"/>
        <w:spacing w:after="0" w:line="240" w:lineRule="auto"/>
        <w:ind w:left="504"/>
        <w:jc w:val="both"/>
        <w:rPr>
          <w:b/>
          <w:bCs/>
        </w:rPr>
      </w:pPr>
    </w:p>
    <w:p w14:paraId="33564A47" w14:textId="58C686FC" w:rsidR="00D9720D" w:rsidRDefault="00D9720D" w:rsidP="00D9720D">
      <w:pPr>
        <w:pStyle w:val="Lijstalinea"/>
        <w:numPr>
          <w:ilvl w:val="1"/>
          <w:numId w:val="1"/>
        </w:numPr>
        <w:spacing w:after="0" w:line="240" w:lineRule="auto"/>
        <w:ind w:left="709" w:hanging="709"/>
        <w:jc w:val="both"/>
        <w:rPr>
          <w:b/>
          <w:bCs/>
        </w:rPr>
      </w:pPr>
      <w:r>
        <w:rPr>
          <w:b/>
          <w:bCs/>
        </w:rPr>
        <w:t>Tussenconclusie over het begrip emissiegegevens</w:t>
      </w:r>
    </w:p>
    <w:p w14:paraId="106C4915" w14:textId="77777777" w:rsidR="00D9720D" w:rsidRPr="00A04565" w:rsidRDefault="00D9720D" w:rsidP="00D9720D">
      <w:pPr>
        <w:pStyle w:val="Lijstalinea"/>
        <w:spacing w:after="0" w:line="240" w:lineRule="auto"/>
        <w:ind w:left="709"/>
        <w:jc w:val="both"/>
        <w:rPr>
          <w:b/>
          <w:bCs/>
        </w:rPr>
      </w:pPr>
    </w:p>
    <w:p w14:paraId="253C6274" w14:textId="645ECF03" w:rsidR="00D9720D" w:rsidRPr="00791BD9" w:rsidRDefault="00D9720D" w:rsidP="00D9720D">
      <w:pPr>
        <w:pStyle w:val="Lijstalinea"/>
        <w:numPr>
          <w:ilvl w:val="2"/>
          <w:numId w:val="1"/>
        </w:numPr>
        <w:spacing w:after="0" w:line="240" w:lineRule="auto"/>
        <w:ind w:left="709" w:hanging="709"/>
        <w:jc w:val="both"/>
        <w:rPr>
          <w:b/>
          <w:bCs/>
        </w:rPr>
      </w:pPr>
      <w:r>
        <w:t xml:space="preserve">Gelet op de bovenstaande jurisprudentie heeft de </w:t>
      </w:r>
      <w:r w:rsidR="003078F4">
        <w:t>u</w:t>
      </w:r>
      <w:r>
        <w:t xml:space="preserve"> ten onrechte de gegevens over staltypen, diersoort en dieraantallen aangemerkt als emissiegegevens. Het Europees Hof van Justitie heeft deze gegevens ook nooit expliciet als emissiegegevens aangemerkt. </w:t>
      </w:r>
    </w:p>
    <w:p w14:paraId="1899BBFB" w14:textId="77777777" w:rsidR="00D9720D" w:rsidRPr="00791BD9" w:rsidRDefault="00D9720D" w:rsidP="00D9720D">
      <w:pPr>
        <w:pStyle w:val="Lijstalinea"/>
        <w:spacing w:after="0" w:line="240" w:lineRule="auto"/>
        <w:ind w:left="709"/>
        <w:jc w:val="both"/>
        <w:rPr>
          <w:b/>
          <w:bCs/>
        </w:rPr>
      </w:pPr>
    </w:p>
    <w:p w14:paraId="5CCD5CBB" w14:textId="5482F80E" w:rsidR="00D9720D" w:rsidRPr="00791BD9" w:rsidRDefault="00D9720D" w:rsidP="00D9720D">
      <w:pPr>
        <w:pStyle w:val="Lijstalinea"/>
        <w:numPr>
          <w:ilvl w:val="1"/>
          <w:numId w:val="1"/>
        </w:numPr>
        <w:spacing w:after="0" w:line="240" w:lineRule="auto"/>
        <w:ind w:left="709" w:hanging="709"/>
        <w:jc w:val="both"/>
        <w:rPr>
          <w:b/>
          <w:bCs/>
        </w:rPr>
      </w:pPr>
      <w:r>
        <w:t xml:space="preserve">De verschillende interpretaties binnen de Unie en bij de Commissie zelf, zouden moeten leiden tot </w:t>
      </w:r>
      <w:r w:rsidR="00462E1C">
        <w:t>het stellen</w:t>
      </w:r>
      <w:r>
        <w:t xml:space="preserve"> van prejudiciële aan het Europese Hof. Er is immers geen sprake van een </w:t>
      </w:r>
      <w:r w:rsidRPr="004106B8">
        <w:rPr>
          <w:i/>
          <w:iCs/>
        </w:rPr>
        <w:t xml:space="preserve">acte </w:t>
      </w:r>
      <w:proofErr w:type="spellStart"/>
      <w:r w:rsidRPr="004106B8">
        <w:rPr>
          <w:i/>
          <w:iCs/>
        </w:rPr>
        <w:t>clair</w:t>
      </w:r>
      <w:proofErr w:type="spellEnd"/>
      <w:r>
        <w:t>. Later wordt hier nader op ingegaan.</w:t>
      </w:r>
    </w:p>
    <w:p w14:paraId="4D6B55E3" w14:textId="77777777" w:rsidR="00D9720D" w:rsidRDefault="00D9720D" w:rsidP="00D9720D">
      <w:pPr>
        <w:pStyle w:val="Lijstalinea"/>
        <w:spacing w:after="0" w:line="240" w:lineRule="auto"/>
        <w:ind w:left="709"/>
        <w:jc w:val="both"/>
        <w:rPr>
          <w:b/>
          <w:bCs/>
        </w:rPr>
      </w:pPr>
    </w:p>
    <w:p w14:paraId="29CACB25" w14:textId="24389A15" w:rsidR="00D9720D" w:rsidRDefault="00D9720D" w:rsidP="00D9720D">
      <w:pPr>
        <w:pStyle w:val="Lijstalinea"/>
        <w:numPr>
          <w:ilvl w:val="0"/>
          <w:numId w:val="1"/>
        </w:numPr>
        <w:ind w:left="709" w:hanging="709"/>
        <w:jc w:val="both"/>
        <w:rPr>
          <w:b/>
          <w:bCs/>
        </w:rPr>
      </w:pPr>
      <w:r>
        <w:rPr>
          <w:b/>
          <w:bCs/>
        </w:rPr>
        <w:t xml:space="preserve">Toepassen weigeringsgronden </w:t>
      </w:r>
    </w:p>
    <w:p w14:paraId="63E01093" w14:textId="77777777" w:rsidR="00D9720D" w:rsidRDefault="00D9720D" w:rsidP="00D9720D">
      <w:pPr>
        <w:pStyle w:val="Lijstalinea"/>
        <w:ind w:left="709"/>
        <w:jc w:val="both"/>
        <w:rPr>
          <w:b/>
          <w:bCs/>
        </w:rPr>
      </w:pPr>
    </w:p>
    <w:p w14:paraId="25E8B1D8" w14:textId="77777777" w:rsidR="00D9720D" w:rsidRPr="00B274E7" w:rsidRDefault="00D9720D" w:rsidP="00D9720D">
      <w:pPr>
        <w:pStyle w:val="Lijstalinea"/>
        <w:numPr>
          <w:ilvl w:val="1"/>
          <w:numId w:val="1"/>
        </w:numPr>
        <w:ind w:left="709" w:hanging="709"/>
        <w:jc w:val="both"/>
        <w:rPr>
          <w:b/>
          <w:bCs/>
        </w:rPr>
      </w:pPr>
      <w:r>
        <w:t xml:space="preserve">Nu het in </w:t>
      </w:r>
      <w:proofErr w:type="spellStart"/>
      <w:r>
        <w:t>casu</w:t>
      </w:r>
      <w:proofErr w:type="spellEnd"/>
      <w:r>
        <w:t xml:space="preserve"> niet gaat over gegevens over emissies in het milieu zijn verschillende uitzonderingsgronden van toepassing. Sommige uitzonderingsgronden zijn gebaseerd op hoger Europees recht en zijn óók van toepassing op gegevens betreffend emissies vanwege strijdigheid van de </w:t>
      </w:r>
      <w:proofErr w:type="spellStart"/>
      <w:r>
        <w:t>Woo</w:t>
      </w:r>
      <w:proofErr w:type="spellEnd"/>
      <w:r>
        <w:t xml:space="preserve"> met hoger Europees recht. </w:t>
      </w:r>
    </w:p>
    <w:p w14:paraId="6AFB6829" w14:textId="77777777" w:rsidR="00D9720D" w:rsidRPr="00B274E7" w:rsidRDefault="00D9720D" w:rsidP="00D9720D">
      <w:pPr>
        <w:pStyle w:val="Lijstalinea"/>
        <w:ind w:left="709"/>
        <w:jc w:val="both"/>
        <w:rPr>
          <w:b/>
          <w:bCs/>
        </w:rPr>
      </w:pPr>
    </w:p>
    <w:p w14:paraId="7E668F22" w14:textId="77777777" w:rsidR="00D9720D" w:rsidRDefault="00D9720D" w:rsidP="00D9720D">
      <w:pPr>
        <w:pStyle w:val="Lijstalinea"/>
        <w:numPr>
          <w:ilvl w:val="0"/>
          <w:numId w:val="1"/>
        </w:numPr>
        <w:ind w:left="709" w:hanging="709"/>
        <w:jc w:val="both"/>
        <w:rPr>
          <w:b/>
          <w:bCs/>
        </w:rPr>
      </w:pPr>
      <w:r>
        <w:rPr>
          <w:b/>
          <w:bCs/>
        </w:rPr>
        <w:t>Toepasbare weigeringsgronden</w:t>
      </w:r>
    </w:p>
    <w:p w14:paraId="3F8E148C" w14:textId="77777777" w:rsidR="00D9720D" w:rsidRDefault="00D9720D" w:rsidP="00D9720D">
      <w:pPr>
        <w:pStyle w:val="Lijstalinea"/>
        <w:ind w:left="709"/>
        <w:jc w:val="both"/>
        <w:rPr>
          <w:b/>
          <w:bCs/>
        </w:rPr>
      </w:pPr>
    </w:p>
    <w:p w14:paraId="3D00B06F" w14:textId="77777777" w:rsidR="00F61BD6" w:rsidRPr="005B0C1A" w:rsidRDefault="00F61BD6" w:rsidP="00F61BD6">
      <w:pPr>
        <w:pStyle w:val="Lijstalinea"/>
        <w:numPr>
          <w:ilvl w:val="1"/>
          <w:numId w:val="1"/>
        </w:numPr>
        <w:ind w:left="709" w:hanging="709"/>
        <w:jc w:val="both"/>
        <w:rPr>
          <w:b/>
          <w:bCs/>
        </w:rPr>
      </w:pPr>
      <w:r w:rsidRPr="005B0C1A">
        <w:rPr>
          <w:b/>
          <w:bCs/>
        </w:rPr>
        <w:t xml:space="preserve">Ten onrechte geen toepassing gegeven aan </w:t>
      </w:r>
      <w:bookmarkStart w:id="7" w:name="_Hlk187609907"/>
      <w:r w:rsidRPr="005B0C1A">
        <w:rPr>
          <w:b/>
          <w:bCs/>
        </w:rPr>
        <w:t xml:space="preserve">artikel 5.1, eerste lid, aanhef en onderdeel c van de </w:t>
      </w:r>
      <w:proofErr w:type="spellStart"/>
      <w:r w:rsidRPr="005B0C1A">
        <w:rPr>
          <w:b/>
          <w:bCs/>
        </w:rPr>
        <w:t>Woo</w:t>
      </w:r>
      <w:bookmarkEnd w:id="7"/>
      <w:proofErr w:type="spellEnd"/>
      <w:r w:rsidRPr="005B0C1A">
        <w:rPr>
          <w:b/>
          <w:bCs/>
        </w:rPr>
        <w:t xml:space="preserve"> en 5.1, tweede lid, aanhef en onderdeel f van de </w:t>
      </w:r>
      <w:proofErr w:type="spellStart"/>
      <w:r w:rsidRPr="005B0C1A">
        <w:rPr>
          <w:b/>
          <w:bCs/>
        </w:rPr>
        <w:t>Woo</w:t>
      </w:r>
      <w:proofErr w:type="spellEnd"/>
    </w:p>
    <w:p w14:paraId="5E7D6678" w14:textId="77777777" w:rsidR="00F61BD6" w:rsidRPr="005B0C1A" w:rsidRDefault="00F61BD6" w:rsidP="00F61BD6">
      <w:pPr>
        <w:pStyle w:val="Lijstalinea"/>
        <w:ind w:left="709"/>
        <w:jc w:val="both"/>
        <w:rPr>
          <w:b/>
          <w:bCs/>
        </w:rPr>
      </w:pPr>
    </w:p>
    <w:p w14:paraId="0BD0E2C3" w14:textId="3F0B4491" w:rsidR="00F61BD6" w:rsidRPr="005B0C1A" w:rsidRDefault="00F61BD6" w:rsidP="00F61BD6">
      <w:pPr>
        <w:pStyle w:val="Lijstalinea"/>
        <w:numPr>
          <w:ilvl w:val="2"/>
          <w:numId w:val="1"/>
        </w:numPr>
        <w:ind w:left="709" w:hanging="709"/>
        <w:jc w:val="both"/>
      </w:pPr>
      <w:r>
        <w:t>U</w:t>
      </w:r>
      <w:r w:rsidRPr="005B0C1A">
        <w:t xml:space="preserve"> heeft ten onrechte geen toepassing gegeven aan artikel 5.1, eerste lid, aanhef en onderdeel c en 5.1, tweede lid, aanhef en onderdeel f van de </w:t>
      </w:r>
      <w:proofErr w:type="spellStart"/>
      <w:r w:rsidRPr="005B0C1A">
        <w:t>Woo</w:t>
      </w:r>
      <w:proofErr w:type="spellEnd"/>
      <w:r w:rsidRPr="005B0C1A">
        <w:t xml:space="preserve">. </w:t>
      </w:r>
      <w:r>
        <w:t>Bij het invullen van het elektronisch milieujaarverslag</w:t>
      </w:r>
      <w:r w:rsidRPr="005B0C1A">
        <w:t xml:space="preserve"> zijn vertrouwelijk bedrijfs- en fabricagegegevens vertrekt die door natuurlijke personen of rechtspersonen aan de overheid zijn meegedeeld. Deze gegevens zijn ten onrechte niet geweigerd bij de openbaarmaking van het verzoek. Het gaat dan o.a. over </w:t>
      </w:r>
      <w:r w:rsidRPr="005B0C1A">
        <w:lastRenderedPageBreak/>
        <w:t xml:space="preserve">gegevens over </w:t>
      </w:r>
      <w:r>
        <w:t>(</w:t>
      </w:r>
      <w:r w:rsidR="00DE3107">
        <w:t>gemiddelde</w:t>
      </w:r>
      <w:r>
        <w:t>) dieraantallen</w:t>
      </w:r>
      <w:r w:rsidR="009E6396">
        <w:t>, jaar ingebruikname</w:t>
      </w:r>
      <w:r w:rsidR="006316D0">
        <w:t>, soort huisvesting</w:t>
      </w:r>
      <w:r>
        <w:t xml:space="preserve"> en staltype</w:t>
      </w:r>
      <w:r w:rsidRPr="005B0C1A">
        <w:t xml:space="preserve">. </w:t>
      </w:r>
      <w:r>
        <w:t xml:space="preserve">Zoals eerder opgemerkt, gaat het bij dergelijke informatie niet over emissiegegevens. </w:t>
      </w:r>
    </w:p>
    <w:p w14:paraId="67C1DF05" w14:textId="77777777" w:rsidR="004E665E" w:rsidRDefault="004E665E" w:rsidP="00F61BD6">
      <w:pPr>
        <w:pStyle w:val="Lijstalinea"/>
        <w:spacing w:after="0" w:line="240" w:lineRule="auto"/>
        <w:ind w:left="709"/>
        <w:jc w:val="both"/>
        <w:rPr>
          <w:b/>
          <w:bCs/>
        </w:rPr>
      </w:pPr>
    </w:p>
    <w:p w14:paraId="3C57E7BB" w14:textId="691F1051" w:rsidR="00D9720D" w:rsidRDefault="00D9720D" w:rsidP="00D9720D">
      <w:pPr>
        <w:pStyle w:val="Lijstalinea"/>
        <w:numPr>
          <w:ilvl w:val="1"/>
          <w:numId w:val="1"/>
        </w:numPr>
        <w:spacing w:after="0" w:line="240" w:lineRule="auto"/>
        <w:ind w:left="709" w:hanging="709"/>
        <w:jc w:val="both"/>
        <w:rPr>
          <w:b/>
          <w:bCs/>
        </w:rPr>
      </w:pPr>
      <w:r w:rsidRPr="00061497">
        <w:rPr>
          <w:b/>
          <w:bCs/>
        </w:rPr>
        <w:t xml:space="preserve">Eerbiediging van de persoonlijke levenssfeer - artikel 5.1, tweede lid, aanhef en onderdeel e en h, en vijfde lid, van de </w:t>
      </w:r>
      <w:proofErr w:type="spellStart"/>
      <w:r w:rsidRPr="00061497">
        <w:rPr>
          <w:b/>
          <w:bCs/>
        </w:rPr>
        <w:t>Woo</w:t>
      </w:r>
      <w:proofErr w:type="spellEnd"/>
    </w:p>
    <w:p w14:paraId="1361C12F" w14:textId="77777777" w:rsidR="00D9720D" w:rsidRPr="00061497" w:rsidRDefault="00D9720D" w:rsidP="00D9720D">
      <w:pPr>
        <w:pStyle w:val="Lijstalinea"/>
        <w:spacing w:after="0" w:line="240" w:lineRule="auto"/>
        <w:ind w:left="709"/>
        <w:jc w:val="both"/>
        <w:rPr>
          <w:b/>
          <w:bCs/>
        </w:rPr>
      </w:pPr>
    </w:p>
    <w:p w14:paraId="283CF028" w14:textId="53B579CC" w:rsidR="00D9720D" w:rsidRPr="00061497" w:rsidRDefault="00A021F2" w:rsidP="00D9720D">
      <w:pPr>
        <w:pStyle w:val="Lijstalinea"/>
        <w:numPr>
          <w:ilvl w:val="2"/>
          <w:numId w:val="1"/>
        </w:numPr>
        <w:spacing w:after="0" w:line="240" w:lineRule="auto"/>
        <w:ind w:left="709" w:hanging="709"/>
        <w:jc w:val="both"/>
        <w:rPr>
          <w:b/>
          <w:bCs/>
        </w:rPr>
      </w:pPr>
      <w:r>
        <w:t>U wil</w:t>
      </w:r>
      <w:r w:rsidR="00D9720D">
        <w:t xml:space="preserve"> ten onrechte persoonsgegevens openbaar </w:t>
      </w:r>
      <w:r>
        <w:t>maken</w:t>
      </w:r>
      <w:r w:rsidR="00D9720D">
        <w:t>. Het gaat dan om gegevens</w:t>
      </w:r>
      <w:r w:rsidR="006D4A5A">
        <w:t>, zoals UBN-nummers en adresgegevens,</w:t>
      </w:r>
      <w:r w:rsidR="00D9720D">
        <w:t xml:space="preserve"> die direct te koppelen zijn aan persoonsgegevens en daarom zelf ook persoonsgegevens zijn. </w:t>
      </w:r>
    </w:p>
    <w:p w14:paraId="44D5FE54" w14:textId="77777777" w:rsidR="00D9720D" w:rsidRPr="00061497" w:rsidRDefault="00D9720D" w:rsidP="00D9720D">
      <w:pPr>
        <w:pStyle w:val="Lijstalinea"/>
        <w:spacing w:after="0" w:line="240" w:lineRule="auto"/>
        <w:ind w:left="709"/>
        <w:jc w:val="both"/>
        <w:rPr>
          <w:b/>
          <w:bCs/>
        </w:rPr>
      </w:pPr>
    </w:p>
    <w:p w14:paraId="608AC783" w14:textId="52601C6E" w:rsidR="00D9720D" w:rsidRPr="00061497" w:rsidRDefault="00A021F2" w:rsidP="00D9720D">
      <w:pPr>
        <w:pStyle w:val="Lijstalinea"/>
        <w:numPr>
          <w:ilvl w:val="2"/>
          <w:numId w:val="1"/>
        </w:numPr>
        <w:spacing w:after="0" w:line="240" w:lineRule="auto"/>
        <w:ind w:left="709" w:hanging="709"/>
        <w:jc w:val="both"/>
        <w:rPr>
          <w:b/>
          <w:bCs/>
        </w:rPr>
      </w:pPr>
      <w:r>
        <w:t>U</w:t>
      </w:r>
      <w:r w:rsidR="00D9720D">
        <w:t xml:space="preserve"> had de openbaarmaking moeten weigeren op grond van </w:t>
      </w:r>
      <w:r w:rsidR="00440550">
        <w:t>het artikel</w:t>
      </w:r>
      <w:r w:rsidR="00D9720D" w:rsidRPr="00942600">
        <w:t xml:space="preserve"> 5.1, tweede lid, onderdeel e en h, </w:t>
      </w:r>
      <w:r w:rsidR="00D9720D">
        <w:t xml:space="preserve">en vijfde lid </w:t>
      </w:r>
      <w:r w:rsidR="00D9720D" w:rsidRPr="00942600">
        <w:t xml:space="preserve">van de </w:t>
      </w:r>
      <w:proofErr w:type="spellStart"/>
      <w:r w:rsidR="00D9720D" w:rsidRPr="00942600">
        <w:t>Woo</w:t>
      </w:r>
      <w:proofErr w:type="spellEnd"/>
      <w:r w:rsidR="00D9720D">
        <w:t xml:space="preserve">. E.e.a. in samenhang met artikel 8 van het Europees verdrag voor de rechten van de mens en artikelen 7 en 8 van het Handvest van de grondrechten van de Europese Unie. </w:t>
      </w:r>
    </w:p>
    <w:p w14:paraId="4714D51D" w14:textId="77777777" w:rsidR="00D9720D" w:rsidRDefault="00D9720D" w:rsidP="00D9720D">
      <w:pPr>
        <w:pStyle w:val="Lijstalinea"/>
      </w:pPr>
    </w:p>
    <w:p w14:paraId="0540A24A" w14:textId="4C708B58" w:rsidR="00D9720D" w:rsidRPr="00061497" w:rsidRDefault="00D9720D" w:rsidP="00D9720D">
      <w:pPr>
        <w:pStyle w:val="Lijstalinea"/>
        <w:numPr>
          <w:ilvl w:val="2"/>
          <w:numId w:val="1"/>
        </w:numPr>
        <w:spacing w:after="0" w:line="240" w:lineRule="auto"/>
        <w:ind w:left="709" w:hanging="709"/>
        <w:jc w:val="both"/>
        <w:rPr>
          <w:b/>
          <w:bCs/>
        </w:rPr>
      </w:pPr>
      <w:r>
        <w:t xml:space="preserve">Dat het in </w:t>
      </w:r>
      <w:proofErr w:type="spellStart"/>
      <w:r>
        <w:t>casu</w:t>
      </w:r>
      <w:proofErr w:type="spellEnd"/>
      <w:r>
        <w:t xml:space="preserve"> om persoonsgegevens gaat vloeit voort uit eerdere uitspraken </w:t>
      </w:r>
      <w:r w:rsidR="00A021F2">
        <w:t xml:space="preserve">de </w:t>
      </w:r>
      <w:r>
        <w:t>Afdeling. In de uitspraak van 22 september 2021 (ECLI:</w:t>
      </w:r>
      <w:proofErr w:type="gramStart"/>
      <w:r>
        <w:t>NL:RVS</w:t>
      </w:r>
      <w:proofErr w:type="gramEnd"/>
      <w:r>
        <w:t xml:space="preserve">:2021:2129, </w:t>
      </w:r>
      <w:proofErr w:type="spellStart"/>
      <w:r>
        <w:t>r.o.</w:t>
      </w:r>
      <w:proofErr w:type="spellEnd"/>
      <w:r>
        <w:t xml:space="preserve"> 13.1-13.4) werd de minister van LNV teruggefloten toen deze in strijd met de Algemene verordening gegevensbescherming persoonsgegevens van agrariërs wilde verwerken en ook in de uitspraak van 12 juli 2023 (</w:t>
      </w:r>
      <w:r w:rsidRPr="00086E5F">
        <w:t>ECLI:</w:t>
      </w:r>
      <w:proofErr w:type="gramStart"/>
      <w:r w:rsidRPr="00086E5F">
        <w:t>NL:RVS</w:t>
      </w:r>
      <w:proofErr w:type="gramEnd"/>
      <w:r w:rsidRPr="00086E5F">
        <w:t>:2023:2679</w:t>
      </w:r>
      <w:r>
        <w:t xml:space="preserve">) oordeelt </w:t>
      </w:r>
      <w:r w:rsidR="00A021F2">
        <w:t>de</w:t>
      </w:r>
      <w:r>
        <w:t xml:space="preserve"> Afdeling dat het ook bij personenvennootschappen om persoonsgegevens gaat: </w:t>
      </w:r>
    </w:p>
    <w:p w14:paraId="1B9EA1D0" w14:textId="77777777" w:rsidR="00D9720D" w:rsidRDefault="00D9720D" w:rsidP="00D9720D">
      <w:pPr>
        <w:pStyle w:val="Lijstalinea"/>
        <w:jc w:val="both"/>
      </w:pPr>
    </w:p>
    <w:p w14:paraId="2FB2737E" w14:textId="77777777" w:rsidR="00D9720D" w:rsidRPr="00086E5F" w:rsidRDefault="00D9720D" w:rsidP="00D9720D">
      <w:pPr>
        <w:pStyle w:val="Lijstalinea"/>
        <w:pBdr>
          <w:left w:val="single" w:sz="4" w:space="4" w:color="auto"/>
        </w:pBdr>
        <w:spacing w:after="0" w:line="240" w:lineRule="auto"/>
        <w:ind w:left="1416"/>
        <w:jc w:val="both"/>
        <w:rPr>
          <w:i/>
          <w:iCs/>
        </w:rPr>
      </w:pPr>
      <w:r>
        <w:rPr>
          <w:i/>
          <w:iCs/>
        </w:rPr>
        <w:t>“</w:t>
      </w:r>
      <w:r w:rsidRPr="00086E5F">
        <w:rPr>
          <w:i/>
          <w:iCs/>
        </w:rPr>
        <w:t xml:space="preserve">Artikel 10, tweede lid, aanhef en onder e, van de </w:t>
      </w:r>
      <w:proofErr w:type="spellStart"/>
      <w:r w:rsidRPr="00086E5F">
        <w:rPr>
          <w:i/>
          <w:iCs/>
        </w:rPr>
        <w:t>Wob</w:t>
      </w:r>
      <w:proofErr w:type="spellEnd"/>
      <w:r w:rsidRPr="00086E5F">
        <w:rPr>
          <w:i/>
          <w:iCs/>
        </w:rPr>
        <w:t xml:space="preserve"> bepaalt dat het verstrekken van informatie achterwege blijft voor zover het belang daarvan niet opweegt tegen het belang van eerbiediging van de persoonlijke levenssfeer. Bij 206 bedrijven komt in de bedrijfsnaam de familienaam terug. Het is daardoor ook mogelijk het woonadres van de betreffende families te achterhalen. De rechtbank heeft terecht vastgesteld dat openbaarmaking van de bedrijfsnamen daarom een inbreuk maakt op de persoonlijke levenssfeer van de bij die bedrijven betrokken personen.</w:t>
      </w:r>
      <w:r>
        <w:rPr>
          <w:i/>
          <w:iCs/>
        </w:rPr>
        <w:t>”</w:t>
      </w:r>
    </w:p>
    <w:p w14:paraId="6C0574D3" w14:textId="77777777" w:rsidR="00D9720D" w:rsidRDefault="00D9720D" w:rsidP="00D9720D">
      <w:pPr>
        <w:spacing w:after="0" w:line="240" w:lineRule="auto"/>
        <w:jc w:val="both"/>
      </w:pPr>
    </w:p>
    <w:p w14:paraId="285FAA81" w14:textId="77777777" w:rsidR="00D9720D" w:rsidRPr="006C4EAE" w:rsidRDefault="00D9720D" w:rsidP="00D9720D">
      <w:pPr>
        <w:pStyle w:val="Lijstalinea"/>
        <w:numPr>
          <w:ilvl w:val="2"/>
          <w:numId w:val="1"/>
        </w:numPr>
        <w:spacing w:after="0" w:line="240" w:lineRule="auto"/>
        <w:ind w:left="709" w:hanging="709"/>
        <w:jc w:val="both"/>
        <w:rPr>
          <w:b/>
          <w:bCs/>
        </w:rPr>
      </w:pPr>
      <w:r>
        <w:t>Dat de gegevens van zelfstandig ondernemers en personenvennootschappen persoonsgegevens bevatten die bescherming genieten onder de AVG, volgt ook uit het standpunt van de regering bij de beantwoording van Kamervragen</w:t>
      </w:r>
      <w:r>
        <w:rPr>
          <w:rStyle w:val="Voetnootmarkering"/>
        </w:rPr>
        <w:footnoteReference w:id="2"/>
      </w:r>
      <w:r>
        <w:t xml:space="preserve"> en een door de Autoriteit Persoonsgegevens gepubliceerde opinie van 20 december 2018 </w:t>
      </w:r>
      <w:r w:rsidRPr="31E2D801">
        <w:rPr>
          <w:rStyle w:val="Voetnootmarkering"/>
        </w:rPr>
        <w:footnoteReference w:id="3"/>
      </w:r>
      <w:r>
        <w:t xml:space="preserve">:  </w:t>
      </w:r>
      <w:r>
        <w:br/>
      </w:r>
    </w:p>
    <w:p w14:paraId="791CE768" w14:textId="77777777" w:rsidR="00D9720D" w:rsidRDefault="00D9720D" w:rsidP="00D9720D">
      <w:pPr>
        <w:pBdr>
          <w:left w:val="single" w:sz="4" w:space="4" w:color="auto"/>
        </w:pBdr>
        <w:spacing w:after="0" w:line="240" w:lineRule="auto"/>
        <w:ind w:left="1418" w:hanging="3"/>
        <w:jc w:val="both"/>
        <w:rPr>
          <w:i/>
          <w:iCs/>
        </w:rPr>
      </w:pPr>
      <w:r w:rsidRPr="31E2D801">
        <w:rPr>
          <w:i/>
          <w:iCs/>
        </w:rPr>
        <w:t xml:space="preserve">“Gegevens over vennootschappen onder </w:t>
      </w:r>
      <w:proofErr w:type="spellStart"/>
      <w:r w:rsidRPr="31E2D801">
        <w:rPr>
          <w:i/>
          <w:iCs/>
        </w:rPr>
        <w:t>fima</w:t>
      </w:r>
      <w:proofErr w:type="spellEnd"/>
      <w:r w:rsidRPr="31E2D801">
        <w:rPr>
          <w:i/>
          <w:iCs/>
        </w:rPr>
        <w:t>, eenmanszaken en vrije beroepsbeoefenaren zijn doorgaans ook persoonsgegevens omdat deze gegevens vaak ook herleidbaar zijn tot de eigenaar of de vennoot zelf.”</w:t>
      </w:r>
    </w:p>
    <w:p w14:paraId="64E68B19" w14:textId="77777777" w:rsidR="00D9720D" w:rsidRDefault="00D9720D" w:rsidP="00D9720D">
      <w:pPr>
        <w:spacing w:after="0" w:line="240" w:lineRule="auto"/>
        <w:ind w:left="709" w:hanging="709"/>
        <w:jc w:val="both"/>
      </w:pPr>
    </w:p>
    <w:p w14:paraId="7B7323E8" w14:textId="77777777" w:rsidR="00D9720D" w:rsidRPr="006C4EAE" w:rsidRDefault="00D9720D" w:rsidP="00D9720D">
      <w:pPr>
        <w:pStyle w:val="Lijstalinea"/>
        <w:numPr>
          <w:ilvl w:val="2"/>
          <w:numId w:val="1"/>
        </w:numPr>
        <w:spacing w:after="0" w:line="240" w:lineRule="auto"/>
        <w:ind w:left="709" w:hanging="709"/>
        <w:jc w:val="both"/>
        <w:rPr>
          <w:b/>
          <w:bCs/>
        </w:rPr>
      </w:pPr>
      <w:r>
        <w:t xml:space="preserve">In de rechtspraak wordt, terecht, de bijzondere positie van veehouders benadrukt. Zo overwoog de strafrechter in een zaak over dierenactivisme (Rb. Oost-Brabant 6 november 2019, </w:t>
      </w:r>
      <w:r w:rsidRPr="006C550D">
        <w:t>ECLI:</w:t>
      </w:r>
      <w:proofErr w:type="gramStart"/>
      <w:r w:rsidRPr="006C550D">
        <w:t>NL:RBOBR</w:t>
      </w:r>
      <w:proofErr w:type="gramEnd"/>
      <w:r w:rsidRPr="006C550D">
        <w:t>:2019:6955</w:t>
      </w:r>
      <w:r>
        <w:t>):</w:t>
      </w:r>
    </w:p>
    <w:p w14:paraId="0B3575B8" w14:textId="77777777" w:rsidR="00D9720D" w:rsidRDefault="00D9720D" w:rsidP="00D9720D">
      <w:pPr>
        <w:pStyle w:val="Lijstalinea"/>
        <w:spacing w:after="0" w:line="240" w:lineRule="auto"/>
        <w:ind w:left="709"/>
        <w:jc w:val="both"/>
      </w:pPr>
    </w:p>
    <w:p w14:paraId="1CF1BFD4" w14:textId="77777777" w:rsidR="00D9720D" w:rsidRPr="003F0C3A" w:rsidRDefault="00D9720D" w:rsidP="00D9720D">
      <w:pPr>
        <w:pStyle w:val="Lijstalinea"/>
        <w:pBdr>
          <w:left w:val="single" w:sz="4" w:space="4" w:color="auto"/>
        </w:pBdr>
        <w:spacing w:after="0" w:line="240" w:lineRule="auto"/>
        <w:ind w:left="1416"/>
        <w:jc w:val="both"/>
        <w:rPr>
          <w:rFonts w:cstheme="minorHAnsi"/>
          <w:i/>
          <w:iCs/>
          <w:color w:val="000000"/>
          <w:shd w:val="clear" w:color="auto" w:fill="FFFFFF"/>
        </w:rPr>
      </w:pPr>
      <w:r w:rsidRPr="003F0C3A">
        <w:rPr>
          <w:rFonts w:cstheme="minorHAnsi"/>
          <w:i/>
          <w:iCs/>
          <w:color w:val="000000"/>
          <w:shd w:val="clear" w:color="auto" w:fill="FFFFFF"/>
        </w:rPr>
        <w:t xml:space="preserve">“Daarnaast hebben de actievoerders de nadelige gevolgen van hun actie niet beperkt tot het bedrijf. Op het terrein van het varkensbedrijf bevinden zich immers niet alleen de varkenstallen, maar ook de woning van een van de medewerkers van het bedrijf en zijn gezinsleden. Door hun actie hebben de actievoerders zich niet beperkt tot het </w:t>
      </w:r>
      <w:r w:rsidRPr="003F0C3A">
        <w:rPr>
          <w:rFonts w:cstheme="minorHAnsi"/>
          <w:i/>
          <w:iCs/>
          <w:color w:val="000000"/>
          <w:shd w:val="clear" w:color="auto" w:fill="FFFFFF"/>
        </w:rPr>
        <w:lastRenderedPageBreak/>
        <w:t>beïnvloeden van de in hun ogen onethische bedrijfsvoering, maar hebben zij ook ontoelaatbaar het privéleven van deze medewerker en zijn gezinsleden geraakt.”</w:t>
      </w:r>
    </w:p>
    <w:p w14:paraId="0158F366" w14:textId="77777777" w:rsidR="00D9720D" w:rsidRDefault="00D9720D" w:rsidP="00D9720D">
      <w:pPr>
        <w:pStyle w:val="Lijstalinea"/>
        <w:spacing w:after="0" w:line="240" w:lineRule="auto"/>
        <w:ind w:left="709"/>
        <w:jc w:val="both"/>
      </w:pPr>
    </w:p>
    <w:p w14:paraId="4C7E3931" w14:textId="77777777" w:rsidR="00D9720D" w:rsidRPr="006C4EAE" w:rsidRDefault="00D9720D" w:rsidP="00D9720D">
      <w:pPr>
        <w:pStyle w:val="Lijstalinea"/>
        <w:numPr>
          <w:ilvl w:val="2"/>
          <w:numId w:val="1"/>
        </w:numPr>
        <w:spacing w:after="0" w:line="240" w:lineRule="auto"/>
        <w:ind w:left="709" w:hanging="709"/>
        <w:jc w:val="both"/>
        <w:rPr>
          <w:b/>
          <w:bCs/>
        </w:rPr>
      </w:pPr>
      <w:r>
        <w:t xml:space="preserve">Dat artikel 5.1, tweede lid, onderdeel e, van de </w:t>
      </w:r>
      <w:proofErr w:type="spellStart"/>
      <w:r>
        <w:t>Woo</w:t>
      </w:r>
      <w:proofErr w:type="spellEnd"/>
      <w:r>
        <w:t xml:space="preserve"> als weigeringsgrond beoordeelt moet worden, volgt ook uit de rechtspraak (zie bijv. Rb. Midden-Nederland 5 maart 2020, ECLI:</w:t>
      </w:r>
      <w:proofErr w:type="gramStart"/>
      <w:r>
        <w:t>NL:RBMNE</w:t>
      </w:r>
      <w:proofErr w:type="gramEnd"/>
      <w:r>
        <w:t>:2020:879):</w:t>
      </w:r>
    </w:p>
    <w:p w14:paraId="2164DBEE" w14:textId="77777777" w:rsidR="00D9720D" w:rsidRDefault="00D9720D" w:rsidP="00D9720D">
      <w:pPr>
        <w:pStyle w:val="Lijstalinea"/>
        <w:spacing w:after="0" w:line="240" w:lineRule="auto"/>
        <w:ind w:left="709" w:hanging="709"/>
        <w:jc w:val="both"/>
      </w:pPr>
    </w:p>
    <w:p w14:paraId="3555F135" w14:textId="77777777" w:rsidR="00D9720D" w:rsidRPr="00942600" w:rsidRDefault="00D9720D" w:rsidP="00D9720D">
      <w:pPr>
        <w:pStyle w:val="Lijstalinea"/>
        <w:pBdr>
          <w:left w:val="single" w:sz="4" w:space="4" w:color="auto"/>
        </w:pBdr>
        <w:spacing w:after="0" w:line="240" w:lineRule="auto"/>
        <w:ind w:left="1418" w:hanging="2"/>
        <w:jc w:val="both"/>
        <w:rPr>
          <w:i/>
          <w:iCs/>
        </w:rPr>
      </w:pPr>
      <w:r>
        <w:rPr>
          <w:i/>
          <w:iCs/>
        </w:rPr>
        <w:t>“</w:t>
      </w:r>
      <w:r w:rsidRPr="00942600">
        <w:rPr>
          <w:i/>
          <w:iCs/>
        </w:rPr>
        <w:t>15. Wat betreft de toepassing van 10.2.e is duidelijk dat privénamen en -adressen in beginsel strikt persoonlijk zijn. Met verstrekking van bedrijfsnamen van landbouwbedrijven zou ook de privénaam in veel gevallen bekend worden. Ook de privéadressen zijn vervolgens eenvoudig herleidbaar. Eén en ander zou inbreuk maken op de persoonlijke levenssfeer van betrokken personen.</w:t>
      </w:r>
    </w:p>
    <w:p w14:paraId="3D135D7D" w14:textId="77777777" w:rsidR="00D9720D" w:rsidRPr="00942600" w:rsidRDefault="00D9720D" w:rsidP="00D9720D">
      <w:pPr>
        <w:pStyle w:val="Lijstalinea"/>
        <w:pBdr>
          <w:left w:val="single" w:sz="4" w:space="4" w:color="auto"/>
        </w:pBdr>
        <w:spacing w:after="0" w:line="240" w:lineRule="auto"/>
        <w:ind w:left="1418" w:hanging="2"/>
        <w:jc w:val="both"/>
        <w:rPr>
          <w:i/>
          <w:iCs/>
        </w:rPr>
      </w:pPr>
    </w:p>
    <w:p w14:paraId="2AF65915" w14:textId="77777777" w:rsidR="00D9720D" w:rsidRPr="00942600" w:rsidRDefault="00D9720D" w:rsidP="00D9720D">
      <w:pPr>
        <w:pStyle w:val="Lijstalinea"/>
        <w:pBdr>
          <w:left w:val="single" w:sz="4" w:space="4" w:color="auto"/>
        </w:pBdr>
        <w:spacing w:after="0" w:line="240" w:lineRule="auto"/>
        <w:ind w:left="1418" w:hanging="2"/>
        <w:jc w:val="both"/>
        <w:rPr>
          <w:i/>
          <w:iCs/>
        </w:rPr>
      </w:pPr>
      <w:r w:rsidRPr="00942600">
        <w:rPr>
          <w:i/>
          <w:iCs/>
        </w:rPr>
        <w:t xml:space="preserve">16. Bovenstaande neemt niet weg dat dit belang nog altijd moet worden afgewogen tegen de andere belangen waarvoor het belang van de persoonlijke levenssfeer zou moeten kunnen wijken, bijvoorbeeld omdat openbaarmaking een belangrijke bijdrage levert aan de publieke controle. </w:t>
      </w:r>
      <w:proofErr w:type="gramStart"/>
      <w:r w:rsidRPr="00942600">
        <w:rPr>
          <w:i/>
          <w:iCs/>
        </w:rPr>
        <w:t>Indien</w:t>
      </w:r>
      <w:proofErr w:type="gramEnd"/>
      <w:r w:rsidRPr="00942600">
        <w:rPr>
          <w:i/>
          <w:iCs/>
        </w:rPr>
        <w:t xml:space="preserve"> het uitsluitend om beroepshalve functioneren van die bedrijven gaat, weegt dit mogelijk niet op tegen het publieke belang om te weten of de desbetreffende bedrijven zich aan de voorschriften voor certificering houden, de wijze waarop verweerder de naleving handhaaft, en of een eventuele decertificering onherroepelijk is of dat er nog een procedure loopt. De wijze waarop van de regels wordt afgeweken, voor welke onderwerpen en hoe vaak kan daarbij ook een rol spelen. Het gaat daarbij, wat de namen betreft, bovendien niet om gegevens die vertrouwelijk aan verweerder zijn overgelegd.</w:t>
      </w:r>
      <w:r>
        <w:rPr>
          <w:i/>
          <w:iCs/>
        </w:rPr>
        <w:t>”</w:t>
      </w:r>
    </w:p>
    <w:p w14:paraId="47C437D8" w14:textId="77777777" w:rsidR="00D9720D" w:rsidRDefault="00D9720D" w:rsidP="00D9720D">
      <w:pPr>
        <w:spacing w:after="0" w:line="240" w:lineRule="auto"/>
        <w:ind w:left="709" w:hanging="709"/>
        <w:jc w:val="both"/>
      </w:pPr>
    </w:p>
    <w:p w14:paraId="4D9F42AB" w14:textId="77777777" w:rsidR="00D9720D" w:rsidRPr="006C4EAE" w:rsidRDefault="00D9720D" w:rsidP="00D9720D">
      <w:pPr>
        <w:pStyle w:val="Lijstalinea"/>
        <w:numPr>
          <w:ilvl w:val="2"/>
          <w:numId w:val="1"/>
        </w:numPr>
        <w:spacing w:after="0" w:line="240" w:lineRule="auto"/>
        <w:ind w:left="709" w:hanging="709"/>
        <w:jc w:val="both"/>
        <w:rPr>
          <w:b/>
          <w:bCs/>
        </w:rPr>
      </w:pPr>
      <w:r>
        <w:t>Uit het CPB Richtsnoer “Actieve openbaarmaking en eerbiediging van de persoonlijke levenssfeer”</w:t>
      </w:r>
      <w:r w:rsidRPr="31E2D801">
        <w:rPr>
          <w:rStyle w:val="Voetnootmarkering"/>
        </w:rPr>
        <w:footnoteReference w:id="4"/>
      </w:r>
      <w:r>
        <w:t xml:space="preserve">, opgesteld door het College ter bescherming van persoonsgegevens, volgt dat bij de openbaarmaking van persoonsgegevens mede gekeken dient te worden naar de bescherming die voortvloeit uit artikel 8 van het EVRM. </w:t>
      </w:r>
    </w:p>
    <w:p w14:paraId="71CD74DB" w14:textId="77777777" w:rsidR="00D9720D" w:rsidRDefault="00D9720D" w:rsidP="00D9720D">
      <w:pPr>
        <w:pStyle w:val="Lijstalinea"/>
        <w:jc w:val="both"/>
      </w:pPr>
    </w:p>
    <w:p w14:paraId="7208F47C" w14:textId="77777777" w:rsidR="00D9720D" w:rsidRPr="006C4EAE" w:rsidRDefault="00D9720D" w:rsidP="00D9720D">
      <w:pPr>
        <w:pStyle w:val="Lijstalinea"/>
        <w:numPr>
          <w:ilvl w:val="2"/>
          <w:numId w:val="1"/>
        </w:numPr>
        <w:spacing w:after="0" w:line="240" w:lineRule="auto"/>
        <w:ind w:left="709" w:hanging="709"/>
        <w:jc w:val="both"/>
        <w:rPr>
          <w:b/>
          <w:bCs/>
        </w:rPr>
      </w:pPr>
      <w:r>
        <w:t xml:space="preserve">Opgemerkt zij dat volgens vaste uitspraken van het Europees Hof voor de Rechten van de Mens, ook </w:t>
      </w:r>
      <w:r w:rsidRPr="006C4EAE">
        <w:rPr>
          <w:i/>
          <w:iCs/>
        </w:rPr>
        <w:t>beroeps-en handelsactiviteiten</w:t>
      </w:r>
      <w:r>
        <w:t xml:space="preserve"> onder deze bescherming vallen. Dit volgt onder andere uit de uitspraak Peck tegen het Verenigd Koninkrijk (EHRM 28 april 2003, </w:t>
      </w:r>
      <w:proofErr w:type="gramStart"/>
      <w:r>
        <w:t>ECLI:CE</w:t>
      </w:r>
      <w:proofErr w:type="gramEnd"/>
      <w:r>
        <w:t xml:space="preserve">:ECHR:2003:0128JUD004464798): </w:t>
      </w:r>
    </w:p>
    <w:p w14:paraId="5C982DDC" w14:textId="77777777" w:rsidR="00D9720D" w:rsidRDefault="00D9720D" w:rsidP="00D9720D">
      <w:pPr>
        <w:spacing w:after="0" w:line="240" w:lineRule="auto"/>
        <w:ind w:left="709" w:hanging="709"/>
        <w:jc w:val="both"/>
      </w:pPr>
    </w:p>
    <w:p w14:paraId="552431A7" w14:textId="77777777" w:rsidR="00D9720D" w:rsidRPr="00582B2F" w:rsidRDefault="00D9720D" w:rsidP="00D9720D">
      <w:pPr>
        <w:pBdr>
          <w:left w:val="single" w:sz="4" w:space="4" w:color="auto"/>
        </w:pBdr>
        <w:spacing w:after="0" w:line="240" w:lineRule="auto"/>
        <w:ind w:left="1416" w:hanging="1"/>
        <w:jc w:val="both"/>
        <w:rPr>
          <w:i/>
          <w:iCs/>
          <w:lang w:val="en-GB"/>
        </w:rPr>
      </w:pPr>
      <w:r w:rsidRPr="00582B2F">
        <w:rPr>
          <w:i/>
          <w:iCs/>
          <w:lang w:val="en-GB"/>
        </w:rPr>
        <w:t xml:space="preserve">“57.  Private life is a broad term not susceptible to exhaustive definition. The Court has already held that elements such as gender identification, name, sexual orientation and sexual life are important elements of the personal sphere protected by Article 8. That Article also protects a right to identity and personal development, and the right to establish and develop relationships with other human beings and the outside world and </w:t>
      </w:r>
      <w:r w:rsidRPr="00582B2F">
        <w:rPr>
          <w:b/>
          <w:bCs/>
          <w:i/>
          <w:iCs/>
          <w:lang w:val="en-GB"/>
        </w:rPr>
        <w:t>it may include activities of a professional or business nature. There is, therefore, a zone of interaction of a person with others, even in a public context, which may fall within the scope of “private life”</w:t>
      </w:r>
      <w:r w:rsidRPr="00582B2F">
        <w:rPr>
          <w:i/>
          <w:iCs/>
          <w:lang w:val="en-GB"/>
        </w:rPr>
        <w:t xml:space="preserve"> (see P.G. and J.H. v. the United Kingdom, no. 44787/98, § 56, ECHR 2001-IX, with further references).”</w:t>
      </w:r>
    </w:p>
    <w:p w14:paraId="6891C09D" w14:textId="77777777" w:rsidR="00D9720D" w:rsidRPr="00582B2F" w:rsidRDefault="00D9720D" w:rsidP="00D9720D">
      <w:pPr>
        <w:spacing w:after="0" w:line="240" w:lineRule="auto"/>
        <w:ind w:left="709" w:hanging="709"/>
        <w:jc w:val="both"/>
        <w:rPr>
          <w:lang w:val="en-GB"/>
        </w:rPr>
      </w:pPr>
    </w:p>
    <w:p w14:paraId="3A9724EC" w14:textId="61571733" w:rsidR="00D9720D" w:rsidRPr="006C4EAE" w:rsidRDefault="00D9720D" w:rsidP="00D9720D">
      <w:pPr>
        <w:pStyle w:val="Lijstalinea"/>
        <w:numPr>
          <w:ilvl w:val="2"/>
          <w:numId w:val="1"/>
        </w:numPr>
        <w:spacing w:after="0" w:line="240" w:lineRule="auto"/>
        <w:ind w:left="709" w:hanging="709"/>
        <w:jc w:val="both"/>
        <w:rPr>
          <w:b/>
          <w:bCs/>
        </w:rPr>
      </w:pPr>
      <w:r>
        <w:t>In dit licht is ook de recente uitspraak van het Hof van Justitie van de Europese Unie over de onverenigbaarheid van het UBO-register met de deze grondrechten relevant (</w:t>
      </w:r>
      <w:proofErr w:type="spellStart"/>
      <w:r>
        <w:t>HvjEU</w:t>
      </w:r>
      <w:proofErr w:type="spellEnd"/>
      <w:r>
        <w:t xml:space="preserve"> 22 november 2022, ECLI:EU:C:2022:912). In deze uitspraak geeft het Hof een samenvatting van </w:t>
      </w:r>
      <w:r>
        <w:lastRenderedPageBreak/>
        <w:t>het kader voor de toets aan artikelen 7 en 8 van het Handvest van de grondrechten van de Europese Unie uiteen:</w:t>
      </w:r>
    </w:p>
    <w:p w14:paraId="53703C10" w14:textId="77777777" w:rsidR="00D9720D" w:rsidRDefault="00D9720D" w:rsidP="00D9720D">
      <w:pPr>
        <w:pStyle w:val="Lijstalinea"/>
        <w:spacing w:after="0" w:line="240" w:lineRule="auto"/>
        <w:ind w:left="432"/>
        <w:jc w:val="both"/>
      </w:pPr>
    </w:p>
    <w:p w14:paraId="13BD12D9" w14:textId="77777777" w:rsidR="00D9720D" w:rsidRPr="00765F9E" w:rsidRDefault="00D9720D" w:rsidP="00D9720D">
      <w:pPr>
        <w:pStyle w:val="Lijstalinea"/>
        <w:pBdr>
          <w:left w:val="single" w:sz="4" w:space="4" w:color="auto"/>
        </w:pBdr>
        <w:spacing w:after="0" w:line="240" w:lineRule="auto"/>
        <w:ind w:left="1416"/>
        <w:jc w:val="both"/>
        <w:rPr>
          <w:i/>
          <w:iCs/>
        </w:rPr>
      </w:pPr>
      <w:r>
        <w:rPr>
          <w:i/>
          <w:iCs/>
        </w:rPr>
        <w:t>“</w:t>
      </w:r>
      <w:r w:rsidRPr="00765F9E">
        <w:rPr>
          <w:i/>
          <w:iCs/>
        </w:rPr>
        <w:t xml:space="preserve">63      Volgens vaste rechtspraak vereist de evenredigheid van maatregelen waaruit een inmenging in de door de artikelen 7 en 8 van het Handvest gewaarborgde rechten voortvloeit, dat zij passend, noodzakelijk en evenredig aan het nagestreefde doel zijn (zie in die zin arrest van 5 april 2022, </w:t>
      </w:r>
      <w:proofErr w:type="spellStart"/>
      <w:r w:rsidRPr="00765F9E">
        <w:rPr>
          <w:i/>
          <w:iCs/>
        </w:rPr>
        <w:t>Commissioner</w:t>
      </w:r>
      <w:proofErr w:type="spellEnd"/>
      <w:r w:rsidRPr="00765F9E">
        <w:rPr>
          <w:i/>
          <w:iCs/>
        </w:rPr>
        <w:t xml:space="preserve"> of An </w:t>
      </w:r>
      <w:proofErr w:type="spellStart"/>
      <w:r w:rsidRPr="00765F9E">
        <w:rPr>
          <w:i/>
          <w:iCs/>
        </w:rPr>
        <w:t>Garda</w:t>
      </w:r>
      <w:proofErr w:type="spellEnd"/>
      <w:r w:rsidRPr="00765F9E">
        <w:rPr>
          <w:i/>
          <w:iCs/>
        </w:rPr>
        <w:t xml:space="preserve"> </w:t>
      </w:r>
      <w:proofErr w:type="spellStart"/>
      <w:r w:rsidRPr="00765F9E">
        <w:rPr>
          <w:i/>
          <w:iCs/>
        </w:rPr>
        <w:t>Síochána</w:t>
      </w:r>
      <w:proofErr w:type="spellEnd"/>
      <w:r w:rsidRPr="00765F9E">
        <w:rPr>
          <w:i/>
          <w:iCs/>
        </w:rPr>
        <w:t xml:space="preserve"> e.a., C</w:t>
      </w:r>
      <w:r w:rsidRPr="00765F9E">
        <w:rPr>
          <w:rFonts w:ascii="Cambria Math" w:hAnsi="Cambria Math" w:cs="Cambria Math"/>
          <w:i/>
          <w:iCs/>
        </w:rPr>
        <w:t>‑</w:t>
      </w:r>
      <w:r w:rsidRPr="00765F9E">
        <w:rPr>
          <w:i/>
          <w:iCs/>
        </w:rPr>
        <w:t>140/20, EU:C:2022:258, punt 93).</w:t>
      </w:r>
    </w:p>
    <w:p w14:paraId="5788CAEC" w14:textId="77777777" w:rsidR="00D9720D" w:rsidRPr="00765F9E" w:rsidRDefault="00D9720D" w:rsidP="00D9720D">
      <w:pPr>
        <w:pStyle w:val="Lijstalinea"/>
        <w:pBdr>
          <w:left w:val="single" w:sz="4" w:space="4" w:color="auto"/>
        </w:pBdr>
        <w:spacing w:after="0" w:line="240" w:lineRule="auto"/>
        <w:ind w:left="1416"/>
        <w:jc w:val="both"/>
        <w:rPr>
          <w:i/>
          <w:iCs/>
        </w:rPr>
      </w:pPr>
    </w:p>
    <w:p w14:paraId="35DDB380" w14:textId="77777777" w:rsidR="00D9720D" w:rsidRPr="00765F9E" w:rsidRDefault="00D9720D" w:rsidP="00D9720D">
      <w:pPr>
        <w:pStyle w:val="Lijstalinea"/>
        <w:pBdr>
          <w:left w:val="single" w:sz="4" w:space="4" w:color="auto"/>
        </w:pBdr>
        <w:spacing w:after="0" w:line="240" w:lineRule="auto"/>
        <w:ind w:left="1416"/>
        <w:jc w:val="both"/>
        <w:rPr>
          <w:i/>
          <w:iCs/>
        </w:rPr>
      </w:pPr>
      <w:r w:rsidRPr="00765F9E">
        <w:rPr>
          <w:i/>
          <w:iCs/>
        </w:rPr>
        <w:t>64      Meer in het bijzonder blijven de uitzonderingen op de bescherming van de persoonsgegevens en de beperkingen ervan binnen de grenzen van het strikt noodzakelijke, met dien verstande dat wanneer een keuze mogelijk is tussen meerdere geschikte maatregelen voor de verwezenlijking van de rechtmatig nagestreefde doelstellingen, de maatregel moet worden gekozen die het minst belastend is. Bovendien kan een doelstelling van algemeen belang niet worden nagestreefd zonder rekening te houden met het feit dat deze doelstelling moet worden verzoend met de door de maatregel aangetaste grondrechten, zulks via een evenwichtige afweging tussen de doelstelling en de op het spel staande rechten, om ervoor te zorgen dat de door die maatregel berokkende nadelen niet onevenredig zijn aan het nagestreefde doel. Bijgevolg moet de mogelijkheid om een beperking van de door de artikelen 7 en 8 van het Handvest gewaarborgde rechten te rechtvaardigen, worden beoordeeld door de ernst te bepalen van de inmenging die een dergelijke beperking meebrengt, en moet worden nagegaan of het belang van de met die beperking nagestreefde doelstelling van algemeen belang in verhouding staat tot die ernst (zie in die zin arresten van 26 april 2022, Polen/Parlement en Raad, C</w:t>
      </w:r>
      <w:r w:rsidRPr="00765F9E">
        <w:rPr>
          <w:rFonts w:ascii="Cambria Math" w:hAnsi="Cambria Math" w:cs="Cambria Math"/>
          <w:i/>
          <w:iCs/>
        </w:rPr>
        <w:t>‑</w:t>
      </w:r>
      <w:r w:rsidRPr="00765F9E">
        <w:rPr>
          <w:i/>
          <w:iCs/>
        </w:rPr>
        <w:t xml:space="preserve">401/19, EU:C:2022:297, punt 65, en 21 juni 2022, </w:t>
      </w:r>
      <w:proofErr w:type="spellStart"/>
      <w:r w:rsidRPr="00765F9E">
        <w:rPr>
          <w:i/>
          <w:iCs/>
        </w:rPr>
        <w:t>Ligue</w:t>
      </w:r>
      <w:proofErr w:type="spellEnd"/>
      <w:r w:rsidRPr="00765F9E">
        <w:rPr>
          <w:i/>
          <w:iCs/>
        </w:rPr>
        <w:t xml:space="preserve"> des </w:t>
      </w:r>
      <w:proofErr w:type="spellStart"/>
      <w:r w:rsidRPr="00765F9E">
        <w:rPr>
          <w:i/>
          <w:iCs/>
        </w:rPr>
        <w:t>droits</w:t>
      </w:r>
      <w:proofErr w:type="spellEnd"/>
      <w:r w:rsidRPr="00765F9E">
        <w:rPr>
          <w:i/>
          <w:iCs/>
        </w:rPr>
        <w:t xml:space="preserve"> </w:t>
      </w:r>
      <w:proofErr w:type="spellStart"/>
      <w:r w:rsidRPr="00765F9E">
        <w:rPr>
          <w:i/>
          <w:iCs/>
        </w:rPr>
        <w:t>humains</w:t>
      </w:r>
      <w:proofErr w:type="spellEnd"/>
      <w:r w:rsidRPr="00765F9E">
        <w:rPr>
          <w:i/>
          <w:iCs/>
        </w:rPr>
        <w:t>, C</w:t>
      </w:r>
      <w:r w:rsidRPr="00765F9E">
        <w:rPr>
          <w:rFonts w:ascii="Cambria Math" w:hAnsi="Cambria Math" w:cs="Cambria Math"/>
          <w:i/>
          <w:iCs/>
        </w:rPr>
        <w:t>‑</w:t>
      </w:r>
      <w:r w:rsidRPr="00765F9E">
        <w:rPr>
          <w:i/>
          <w:iCs/>
        </w:rPr>
        <w:t>817/19, EU:C:2022:491, punten 115 en 116 en aldaar aangehaalde rechtspraak).</w:t>
      </w:r>
    </w:p>
    <w:p w14:paraId="153C0155" w14:textId="77777777" w:rsidR="00D9720D" w:rsidRPr="00765F9E" w:rsidRDefault="00D9720D" w:rsidP="00D9720D">
      <w:pPr>
        <w:pStyle w:val="Lijstalinea"/>
        <w:pBdr>
          <w:left w:val="single" w:sz="4" w:space="4" w:color="auto"/>
        </w:pBdr>
        <w:spacing w:after="0" w:line="240" w:lineRule="auto"/>
        <w:ind w:left="1416"/>
        <w:jc w:val="both"/>
        <w:rPr>
          <w:i/>
          <w:iCs/>
        </w:rPr>
      </w:pPr>
    </w:p>
    <w:p w14:paraId="3A0BC676" w14:textId="77777777" w:rsidR="00D9720D" w:rsidRDefault="00D9720D" w:rsidP="00D9720D">
      <w:pPr>
        <w:pStyle w:val="Lijstalinea"/>
        <w:pBdr>
          <w:left w:val="single" w:sz="4" w:space="4" w:color="auto"/>
        </w:pBdr>
        <w:spacing w:after="0" w:line="240" w:lineRule="auto"/>
        <w:ind w:left="1416"/>
        <w:jc w:val="both"/>
      </w:pPr>
      <w:r w:rsidRPr="00765F9E">
        <w:rPr>
          <w:i/>
          <w:iCs/>
        </w:rPr>
        <w:t xml:space="preserve">65      Voorts voldoet de betrokken regeling die de inmenging bevat slechts aan het evenredigheidsvereiste </w:t>
      </w:r>
      <w:proofErr w:type="gramStart"/>
      <w:r w:rsidRPr="00765F9E">
        <w:rPr>
          <w:i/>
          <w:iCs/>
        </w:rPr>
        <w:t>indien</w:t>
      </w:r>
      <w:proofErr w:type="gramEnd"/>
      <w:r w:rsidRPr="00765F9E">
        <w:rPr>
          <w:i/>
          <w:iCs/>
        </w:rPr>
        <w:t xml:space="preserve"> zij ook duidelijke en nauwkeurige regels over de reikwijdte en de toepassing van de daarin bepaalde maatregelen bevat die minimale eisen opleggen, zodat de betrokkenen over voldoende garanties beschikken dat hun persoonsgegevens doeltreffend worden beschermd tegen het risico van misbruik. Zij moet in het bijzonder aangeven in welke omstandigheden en onder welke voorwaarden een maatregel die voorziet in de verwerking van dergelijke gegevens kan worden genomen, en aldus waarborgen dat de inmenging tot het strikt noodzakelijke wordt beperkt. De noodzaak om over dergelijke garanties te beschikken is des te groter wanneer de persoonsgegevens voor de leden van de bevolking en dus voor een potentieel onbeperkt aantal personen toegankelijk worden gemaakt, en zij gevoelige informatie over de betrokkenen kunnen onthullen (zie in die zin arrest van 21 juni 2022, </w:t>
      </w:r>
      <w:proofErr w:type="spellStart"/>
      <w:r w:rsidRPr="00765F9E">
        <w:rPr>
          <w:i/>
          <w:iCs/>
        </w:rPr>
        <w:t>Ligue</w:t>
      </w:r>
      <w:proofErr w:type="spellEnd"/>
      <w:r w:rsidRPr="00765F9E">
        <w:rPr>
          <w:i/>
          <w:iCs/>
        </w:rPr>
        <w:t xml:space="preserve"> des </w:t>
      </w:r>
      <w:proofErr w:type="spellStart"/>
      <w:r w:rsidRPr="00765F9E">
        <w:rPr>
          <w:i/>
          <w:iCs/>
        </w:rPr>
        <w:t>droits</w:t>
      </w:r>
      <w:proofErr w:type="spellEnd"/>
      <w:r w:rsidRPr="00765F9E">
        <w:rPr>
          <w:i/>
          <w:iCs/>
        </w:rPr>
        <w:t xml:space="preserve"> </w:t>
      </w:r>
      <w:proofErr w:type="spellStart"/>
      <w:r w:rsidRPr="00765F9E">
        <w:rPr>
          <w:i/>
          <w:iCs/>
        </w:rPr>
        <w:t>humains</w:t>
      </w:r>
      <w:proofErr w:type="spellEnd"/>
      <w:r w:rsidRPr="00765F9E">
        <w:rPr>
          <w:i/>
          <w:iCs/>
        </w:rPr>
        <w:t>, C</w:t>
      </w:r>
      <w:r w:rsidRPr="00765F9E">
        <w:rPr>
          <w:rFonts w:ascii="Cambria Math" w:hAnsi="Cambria Math" w:cs="Cambria Math"/>
          <w:i/>
          <w:iCs/>
        </w:rPr>
        <w:t>‑</w:t>
      </w:r>
      <w:r w:rsidRPr="00765F9E">
        <w:rPr>
          <w:i/>
          <w:iCs/>
        </w:rPr>
        <w:t>817/19, EU:C:2022:491, punt 117 en aldaar aangehaalde rechtspraak).</w:t>
      </w:r>
      <w:r>
        <w:rPr>
          <w:i/>
          <w:iCs/>
        </w:rPr>
        <w:t>”</w:t>
      </w:r>
    </w:p>
    <w:p w14:paraId="70C979A0" w14:textId="77777777" w:rsidR="00D9720D" w:rsidRDefault="00D9720D" w:rsidP="00D9720D">
      <w:pPr>
        <w:pStyle w:val="Lijstalinea"/>
        <w:spacing w:after="0" w:line="240" w:lineRule="auto"/>
        <w:ind w:left="709" w:hanging="709"/>
        <w:jc w:val="both"/>
      </w:pPr>
    </w:p>
    <w:p w14:paraId="7C4BEA61" w14:textId="5F1D601A" w:rsidR="00D9720D" w:rsidRPr="006C4EAE" w:rsidRDefault="00D9720D" w:rsidP="00D9720D">
      <w:pPr>
        <w:pStyle w:val="Lijstalinea"/>
        <w:numPr>
          <w:ilvl w:val="2"/>
          <w:numId w:val="1"/>
        </w:numPr>
        <w:spacing w:after="0" w:line="240" w:lineRule="auto"/>
        <w:ind w:left="709" w:hanging="709"/>
        <w:jc w:val="both"/>
        <w:rPr>
          <w:b/>
          <w:bCs/>
        </w:rPr>
      </w:pPr>
      <w:r>
        <w:t xml:space="preserve">Openbaarmaking kan dan ook enkel geschieden </w:t>
      </w:r>
      <w:proofErr w:type="gramStart"/>
      <w:r>
        <w:t>indien</w:t>
      </w:r>
      <w:proofErr w:type="gramEnd"/>
      <w:r>
        <w:t xml:space="preserve"> dit noodzakelijk is in een democratische samenleving. Daarvan is in </w:t>
      </w:r>
      <w:proofErr w:type="spellStart"/>
      <w:r>
        <w:t>casu</w:t>
      </w:r>
      <w:proofErr w:type="spellEnd"/>
      <w:r>
        <w:t xml:space="preserve"> geen sprake. Het openbaar maken van persoonsgegevens dient geen </w:t>
      </w:r>
      <w:r w:rsidR="00A021F2">
        <w:t>te rechtvaardigen</w:t>
      </w:r>
      <w:r>
        <w:t xml:space="preserve"> democratisch belang. Het faciliteert slechts de ongewenste benadering van de betrokkenen. </w:t>
      </w:r>
    </w:p>
    <w:p w14:paraId="076B83CD" w14:textId="77777777" w:rsidR="00D9720D" w:rsidRPr="006C4EAE" w:rsidRDefault="00D9720D" w:rsidP="00D9720D">
      <w:pPr>
        <w:pStyle w:val="Lijstalinea"/>
        <w:spacing w:after="0" w:line="240" w:lineRule="auto"/>
        <w:ind w:left="709"/>
        <w:jc w:val="both"/>
        <w:rPr>
          <w:b/>
          <w:bCs/>
        </w:rPr>
      </w:pPr>
    </w:p>
    <w:p w14:paraId="42AC0CFD" w14:textId="213B5268" w:rsidR="00D9720D" w:rsidRPr="006C4EAE" w:rsidRDefault="00D9720D" w:rsidP="00D9720D">
      <w:pPr>
        <w:pStyle w:val="Lijstalinea"/>
        <w:numPr>
          <w:ilvl w:val="2"/>
          <w:numId w:val="1"/>
        </w:numPr>
        <w:spacing w:after="0" w:line="240" w:lineRule="auto"/>
        <w:ind w:left="709" w:hanging="709"/>
        <w:jc w:val="both"/>
        <w:rPr>
          <w:b/>
          <w:bCs/>
        </w:rPr>
      </w:pPr>
      <w:r>
        <w:t xml:space="preserve">Het gevaar van onwenselijke benadering door </w:t>
      </w:r>
      <w:r w:rsidR="00A021F2">
        <w:t>de</w:t>
      </w:r>
      <w:r>
        <w:t xml:space="preserve"> Afdeling erkend in de jurisprudentie. In de uitspraak van 23 mei 2018 (ECLI:</w:t>
      </w:r>
      <w:proofErr w:type="gramStart"/>
      <w:r>
        <w:t>NL:RVS</w:t>
      </w:r>
      <w:proofErr w:type="gramEnd"/>
      <w:r>
        <w:t>:2018:1691) overwoog de Afdeling:</w:t>
      </w:r>
    </w:p>
    <w:p w14:paraId="5D7B249E" w14:textId="77777777" w:rsidR="00D9720D" w:rsidRDefault="00D9720D" w:rsidP="00D9720D">
      <w:pPr>
        <w:pStyle w:val="Lijstalinea"/>
        <w:spacing w:after="0" w:line="240" w:lineRule="auto"/>
        <w:ind w:left="709"/>
        <w:jc w:val="both"/>
      </w:pPr>
    </w:p>
    <w:p w14:paraId="5838B204" w14:textId="77777777" w:rsidR="00D9720D" w:rsidRDefault="00D9720D" w:rsidP="00D9720D">
      <w:pPr>
        <w:pBdr>
          <w:left w:val="single" w:sz="4" w:space="4" w:color="auto"/>
        </w:pBdr>
        <w:spacing w:after="0" w:line="240" w:lineRule="auto"/>
        <w:ind w:left="1416" w:hanging="1"/>
        <w:jc w:val="both"/>
        <w:rPr>
          <w:i/>
          <w:iCs/>
        </w:rPr>
      </w:pPr>
      <w:r w:rsidRPr="31E2D801">
        <w:rPr>
          <w:i/>
          <w:iCs/>
        </w:rPr>
        <w:lastRenderedPageBreak/>
        <w:t xml:space="preserve">“De minister heeft wat betreft die telefoonnummers in redelijkheid het belang van bescherming van de persoonlijke levenssfeer zwaarder kunnen laten wegen dan het belang van openbaarmaking. Hierbij is in aanmerking genomen dat, </w:t>
      </w:r>
      <w:proofErr w:type="gramStart"/>
      <w:r w:rsidRPr="31E2D801">
        <w:rPr>
          <w:i/>
          <w:iCs/>
        </w:rPr>
        <w:t>indien</w:t>
      </w:r>
      <w:proofErr w:type="gramEnd"/>
      <w:r w:rsidRPr="31E2D801">
        <w:rPr>
          <w:i/>
          <w:iCs/>
        </w:rPr>
        <w:t xml:space="preserve"> de namen van betrokkenen openbaar worden gemaakt, het openbaar maken van de doorkiesnummers</w:t>
      </w:r>
      <w:r w:rsidRPr="31E2D801">
        <w:rPr>
          <w:b/>
          <w:bCs/>
          <w:i/>
          <w:iCs/>
        </w:rPr>
        <w:t xml:space="preserve"> zou kunnen leiden tot ongewenste benadering van de personen in kwestie.</w:t>
      </w:r>
      <w:r w:rsidRPr="31E2D801">
        <w:rPr>
          <w:i/>
          <w:iCs/>
        </w:rPr>
        <w:t>”</w:t>
      </w:r>
    </w:p>
    <w:p w14:paraId="12121D85" w14:textId="77777777" w:rsidR="00D9720D" w:rsidRDefault="00D9720D" w:rsidP="00D9720D">
      <w:pPr>
        <w:spacing w:after="0" w:line="240" w:lineRule="auto"/>
        <w:ind w:left="709" w:hanging="709"/>
        <w:jc w:val="both"/>
        <w:rPr>
          <w:i/>
          <w:iCs/>
        </w:rPr>
      </w:pPr>
    </w:p>
    <w:p w14:paraId="5C033787" w14:textId="77777777" w:rsidR="00D9720D" w:rsidRPr="006C4EAE" w:rsidRDefault="00D9720D" w:rsidP="00D9720D">
      <w:pPr>
        <w:pStyle w:val="Lijstalinea"/>
        <w:numPr>
          <w:ilvl w:val="2"/>
          <w:numId w:val="1"/>
        </w:numPr>
        <w:spacing w:after="0" w:line="240" w:lineRule="auto"/>
        <w:ind w:left="709" w:hanging="709"/>
        <w:jc w:val="both"/>
        <w:rPr>
          <w:b/>
          <w:bCs/>
        </w:rPr>
      </w:pPr>
      <w:r>
        <w:t>Openbaarmaking van de persoonsgegevens brengt een groot risico tot ongewenste benadering van de betrokkenen met zich mee. De Nationaal Coördinator Terrorisme en Veiligheid noemt ook het risico van dierenactiviste en stalbezettingen expliciet in zijn rapport van april 2022</w:t>
      </w:r>
      <w:r w:rsidRPr="31E2D801">
        <w:rPr>
          <w:rStyle w:val="Voetnootmarkering"/>
        </w:rPr>
        <w:footnoteReference w:id="5"/>
      </w:r>
      <w:r>
        <w:t xml:space="preserve">: </w:t>
      </w:r>
    </w:p>
    <w:p w14:paraId="02762970" w14:textId="77777777" w:rsidR="00D9720D" w:rsidRDefault="00D9720D" w:rsidP="00D9720D">
      <w:pPr>
        <w:spacing w:after="0" w:line="240" w:lineRule="auto"/>
        <w:ind w:left="709" w:hanging="709"/>
        <w:jc w:val="both"/>
      </w:pPr>
    </w:p>
    <w:p w14:paraId="0A2056AD" w14:textId="77777777" w:rsidR="00D9720D" w:rsidRDefault="00D9720D" w:rsidP="00D9720D">
      <w:pPr>
        <w:pBdr>
          <w:left w:val="single" w:sz="4" w:space="4" w:color="auto"/>
        </w:pBdr>
        <w:spacing w:after="0" w:line="240" w:lineRule="auto"/>
        <w:ind w:left="1416" w:hanging="1"/>
        <w:jc w:val="both"/>
        <w:rPr>
          <w:rFonts w:ascii="Calibri" w:eastAsia="Calibri" w:hAnsi="Calibri" w:cs="Calibri"/>
          <w:i/>
          <w:iCs/>
        </w:rPr>
      </w:pPr>
      <w:r w:rsidRPr="31E2D801">
        <w:rPr>
          <w:i/>
          <w:iCs/>
        </w:rPr>
        <w:t>“</w:t>
      </w:r>
      <w:r w:rsidRPr="31E2D801">
        <w:rPr>
          <w:rFonts w:ascii="Calibri" w:eastAsia="Calibri" w:hAnsi="Calibri" w:cs="Calibri"/>
          <w:i/>
          <w:iCs/>
        </w:rPr>
        <w:t xml:space="preserve">Ook het </w:t>
      </w:r>
      <w:r w:rsidRPr="00061497">
        <w:rPr>
          <w:rFonts w:ascii="Calibri" w:eastAsia="Calibri" w:hAnsi="Calibri" w:cs="Calibri"/>
          <w:b/>
          <w:bCs/>
          <w:i/>
          <w:iCs/>
        </w:rPr>
        <w:t>klimaatprotest en</w:t>
      </w:r>
      <w:r w:rsidRPr="31E2D801">
        <w:rPr>
          <w:rFonts w:ascii="Calibri" w:eastAsia="Calibri" w:hAnsi="Calibri" w:cs="Calibri"/>
          <w:i/>
          <w:iCs/>
        </w:rPr>
        <w:t xml:space="preserve"> </w:t>
      </w:r>
      <w:r w:rsidRPr="31E2D801">
        <w:rPr>
          <w:rFonts w:ascii="Calibri" w:eastAsia="Calibri" w:hAnsi="Calibri" w:cs="Calibri"/>
          <w:b/>
          <w:bCs/>
          <w:i/>
          <w:iCs/>
        </w:rPr>
        <w:t>de dierenrechtenbeweging</w:t>
      </w:r>
      <w:r w:rsidRPr="31E2D801">
        <w:rPr>
          <w:rFonts w:ascii="Calibri" w:eastAsia="Calibri" w:hAnsi="Calibri" w:cs="Calibri"/>
          <w:i/>
          <w:iCs/>
        </w:rPr>
        <w:t xml:space="preserve"> in Nederland kenmerken zich tot op heden voornamelijk door activisme of burgerlijke ongehoorzaamheidsacties, </w:t>
      </w:r>
      <w:r w:rsidRPr="31E2D801">
        <w:rPr>
          <w:rFonts w:ascii="Calibri" w:eastAsia="Calibri" w:hAnsi="Calibri" w:cs="Calibri"/>
          <w:b/>
          <w:bCs/>
          <w:i/>
          <w:iCs/>
        </w:rPr>
        <w:t>zoals de bezetting van gebouwen, kruispunten of stallen en slachterijen</w:t>
      </w:r>
      <w:r w:rsidRPr="31E2D801">
        <w:rPr>
          <w:rFonts w:ascii="Calibri" w:eastAsia="Calibri" w:hAnsi="Calibri" w:cs="Calibri"/>
          <w:i/>
          <w:iCs/>
        </w:rPr>
        <w:t>. Zowel binnen extreemlinks (radicale asielrechtenbeweging, anarchisme) als bij klimaat- en dierenrechtenactivisme is tot op zekere hoogte sprake van internationale contacten en solidariteit.”</w:t>
      </w:r>
    </w:p>
    <w:p w14:paraId="15A9EC0A" w14:textId="77777777" w:rsidR="00D9720D" w:rsidRDefault="00D9720D" w:rsidP="00D9720D">
      <w:pPr>
        <w:spacing w:after="0" w:line="240" w:lineRule="auto"/>
        <w:ind w:left="709" w:hanging="709"/>
        <w:jc w:val="both"/>
      </w:pPr>
    </w:p>
    <w:p w14:paraId="32D10727" w14:textId="77777777" w:rsidR="00D9720D" w:rsidRPr="002775FC" w:rsidRDefault="00D9720D" w:rsidP="00D9720D">
      <w:pPr>
        <w:pStyle w:val="Lijstalinea"/>
        <w:numPr>
          <w:ilvl w:val="2"/>
          <w:numId w:val="1"/>
        </w:numPr>
        <w:spacing w:after="0" w:line="240" w:lineRule="auto"/>
        <w:ind w:left="709" w:hanging="709"/>
        <w:jc w:val="both"/>
        <w:rPr>
          <w:b/>
          <w:bCs/>
        </w:rPr>
      </w:pPr>
      <w:r>
        <w:t xml:space="preserve">Helaas is het maatschappelijk debat over klimaat, milieu en veehouderij zeer strekt gepolariseerd en leidt de openbaarmaking van gevoelige emissiegegevens in combinatie met persoons- en contactgegevens met regelmaat tot ongewenste benadering en intimidatie. De waarschuwing van de NCTV was er niet voor niets. </w:t>
      </w:r>
    </w:p>
    <w:p w14:paraId="7AB4323C" w14:textId="77777777" w:rsidR="002775FC" w:rsidRDefault="002775FC" w:rsidP="002775FC">
      <w:pPr>
        <w:pStyle w:val="Lijstalinea"/>
        <w:spacing w:after="0" w:line="240" w:lineRule="auto"/>
        <w:ind w:left="709"/>
        <w:jc w:val="both"/>
      </w:pPr>
    </w:p>
    <w:p w14:paraId="7A052892" w14:textId="77777777" w:rsidR="002775FC" w:rsidRPr="00BC46D0" w:rsidRDefault="002775FC" w:rsidP="002775FC">
      <w:pPr>
        <w:pStyle w:val="Lijstalinea"/>
        <w:jc w:val="both"/>
      </w:pPr>
      <w:r w:rsidRPr="00BC46D0">
        <w:t xml:space="preserve">Recent vindt een opleving van dierenrechtenactivisme plaats. Zo is op 15 juni 2025 een brandaanslag gepleegd bij een pluimveeslachterij, waarbij het logo van </w:t>
      </w:r>
      <w:proofErr w:type="spellStart"/>
      <w:r w:rsidRPr="00BC46D0">
        <w:t>Animal</w:t>
      </w:r>
      <w:proofErr w:type="spellEnd"/>
      <w:r w:rsidRPr="00BC46D0">
        <w:t xml:space="preserve"> </w:t>
      </w:r>
      <w:proofErr w:type="spellStart"/>
      <w:r w:rsidRPr="00BC46D0">
        <w:t>Liberation</w:t>
      </w:r>
      <w:proofErr w:type="spellEnd"/>
      <w:r w:rsidRPr="00BC46D0">
        <w:t xml:space="preserve"> Front was achtergelaten. In een interview met het Noord-Hollands Dagblad dreigen activisten van </w:t>
      </w:r>
      <w:proofErr w:type="spellStart"/>
      <w:r w:rsidRPr="00BC46D0">
        <w:t>Animal</w:t>
      </w:r>
      <w:proofErr w:type="spellEnd"/>
      <w:r w:rsidRPr="00BC46D0">
        <w:t xml:space="preserve"> </w:t>
      </w:r>
      <w:proofErr w:type="spellStart"/>
      <w:r w:rsidRPr="00BC46D0">
        <w:t>Liberation</w:t>
      </w:r>
      <w:proofErr w:type="spellEnd"/>
      <w:r w:rsidRPr="00BC46D0">
        <w:t xml:space="preserve"> Front met meer aanslagen.</w:t>
      </w:r>
      <w:r w:rsidRPr="00BC46D0">
        <w:rPr>
          <w:vertAlign w:val="superscript"/>
        </w:rPr>
        <w:footnoteReference w:id="6"/>
      </w:r>
      <w:r w:rsidRPr="00BC46D0">
        <w:t xml:space="preserve"> Kort daarop vindt erfvredebreuk plaats bij de Gelderse gedeputeerde Zoet wordt zijn stal beklad met intimiderende teksten.</w:t>
      </w:r>
      <w:r w:rsidRPr="00BC46D0">
        <w:rPr>
          <w:vertAlign w:val="superscript"/>
        </w:rPr>
        <w:footnoteReference w:id="7"/>
      </w:r>
      <w:r w:rsidRPr="00BC46D0">
        <w:t xml:space="preserve"> Ook bij het vandalisme bij gedeputeerde Zoet wordt het logo van </w:t>
      </w:r>
      <w:proofErr w:type="spellStart"/>
      <w:r w:rsidRPr="00BC46D0">
        <w:t>Animal</w:t>
      </w:r>
      <w:proofErr w:type="spellEnd"/>
      <w:r w:rsidRPr="00BC46D0">
        <w:t xml:space="preserve"> </w:t>
      </w:r>
      <w:proofErr w:type="spellStart"/>
      <w:r w:rsidRPr="00BC46D0">
        <w:t>Liberation</w:t>
      </w:r>
      <w:proofErr w:type="spellEnd"/>
      <w:r w:rsidRPr="00BC46D0">
        <w:t xml:space="preserve"> Front achtergelaten. </w:t>
      </w:r>
    </w:p>
    <w:p w14:paraId="32F26413" w14:textId="77777777" w:rsidR="002775FC" w:rsidRPr="00BC46D0" w:rsidRDefault="002775FC" w:rsidP="002775FC">
      <w:pPr>
        <w:pStyle w:val="Lijstalinea"/>
        <w:jc w:val="both"/>
        <w:rPr>
          <w:b/>
          <w:bCs/>
        </w:rPr>
      </w:pPr>
    </w:p>
    <w:p w14:paraId="17F5EA45" w14:textId="77777777" w:rsidR="002775FC" w:rsidRDefault="002775FC" w:rsidP="002775FC">
      <w:pPr>
        <w:pStyle w:val="Lijstalinea"/>
        <w:jc w:val="both"/>
      </w:pPr>
      <w:r w:rsidRPr="00BC46D0">
        <w:t>Op maandag 7 juli 2025 vond vervolgens een insluiping met braak plaats bij verschillende slachterijen van de Van Drie groep.</w:t>
      </w:r>
      <w:r w:rsidRPr="00BC46D0">
        <w:rPr>
          <w:vertAlign w:val="superscript"/>
        </w:rPr>
        <w:footnoteReference w:id="8"/>
      </w:r>
      <w:r w:rsidRPr="00BC46D0">
        <w:t xml:space="preserve"> Deze actie wordt opgeëist door de groep 269 </w:t>
      </w:r>
      <w:proofErr w:type="spellStart"/>
      <w:r w:rsidRPr="00BC46D0">
        <w:t>Libération</w:t>
      </w:r>
      <w:proofErr w:type="spellEnd"/>
      <w:r w:rsidRPr="00BC46D0">
        <w:t xml:space="preserve"> Animale. </w:t>
      </w:r>
    </w:p>
    <w:p w14:paraId="502929D7" w14:textId="77777777" w:rsidR="002775FC" w:rsidRDefault="002775FC" w:rsidP="002775FC">
      <w:pPr>
        <w:pStyle w:val="Lijstalinea"/>
        <w:jc w:val="both"/>
      </w:pPr>
    </w:p>
    <w:p w14:paraId="5636EF9A" w14:textId="77777777" w:rsidR="002775FC" w:rsidRDefault="002775FC" w:rsidP="002775FC">
      <w:pPr>
        <w:pStyle w:val="Lijstalinea"/>
        <w:jc w:val="both"/>
      </w:pPr>
      <w:r>
        <w:t>Verder heeft heel recent, op 30 augustus 2025, een dierenactivist via een interview met de Telegraaf gedreigd om een brandaanslag te plegen op het partijkantoor van de BBB.</w:t>
      </w:r>
    </w:p>
    <w:p w14:paraId="1492C043" w14:textId="77777777" w:rsidR="002775FC" w:rsidRDefault="002775FC" w:rsidP="002775FC">
      <w:pPr>
        <w:pStyle w:val="Lijstalinea"/>
        <w:jc w:val="both"/>
      </w:pPr>
    </w:p>
    <w:p w14:paraId="5CE69198" w14:textId="77777777" w:rsidR="002775FC" w:rsidRPr="00BC46D0" w:rsidRDefault="002775FC" w:rsidP="002775FC">
      <w:pPr>
        <w:pStyle w:val="Lijstalinea"/>
        <w:jc w:val="both"/>
      </w:pPr>
      <w:r>
        <w:t>Ook zijn zeer recent, in december 2025, remkabels doorgesneden bij een veetransportonderneming naar aanleiding van de openbaarmaking van illegaal genomen video-opnamen en is op 17 december 2025 een veevoederfabriek geblokkeerd door activisten.</w:t>
      </w:r>
    </w:p>
    <w:p w14:paraId="146C6A75" w14:textId="77777777" w:rsidR="002775FC" w:rsidRPr="006C4EAE" w:rsidRDefault="002775FC" w:rsidP="002775FC">
      <w:pPr>
        <w:pStyle w:val="Lijstalinea"/>
        <w:spacing w:after="0" w:line="240" w:lineRule="auto"/>
        <w:ind w:left="709"/>
        <w:jc w:val="both"/>
        <w:rPr>
          <w:b/>
          <w:bCs/>
        </w:rPr>
      </w:pPr>
    </w:p>
    <w:p w14:paraId="65654B43" w14:textId="1E3CD61C" w:rsidR="002775FC" w:rsidRDefault="002775FC" w:rsidP="002775FC">
      <w:pPr>
        <w:pStyle w:val="Lijstalinea"/>
        <w:spacing w:after="0" w:line="240" w:lineRule="auto"/>
        <w:ind w:left="709"/>
        <w:jc w:val="both"/>
      </w:pPr>
      <w:r>
        <w:lastRenderedPageBreak/>
        <w:t>Ondanks de recente gewelddadige opleving, speelt het probleem van dierenrechten- en klimaatactivisme al langer. Zo dreigt de groep “</w:t>
      </w:r>
      <w:proofErr w:type="spellStart"/>
      <w:r>
        <w:t>Animal</w:t>
      </w:r>
      <w:proofErr w:type="spellEnd"/>
      <w:r>
        <w:t xml:space="preserve"> </w:t>
      </w:r>
      <w:proofErr w:type="spellStart"/>
      <w:r>
        <w:t>Defence</w:t>
      </w:r>
      <w:proofErr w:type="spellEnd"/>
      <w:r>
        <w:t xml:space="preserve"> Force” met stalbezettingen.</w:t>
      </w:r>
      <w:r w:rsidRPr="31E2D801">
        <w:rPr>
          <w:rStyle w:val="Voetnootmarkering"/>
        </w:rPr>
        <w:footnoteReference w:id="9"/>
      </w:r>
      <w:r>
        <w:t xml:space="preserve"> Dit is in augustus 2022 ook uitgebreid in de media gekomen. Verder heeft de </w:t>
      </w:r>
      <w:proofErr w:type="spellStart"/>
      <w:r>
        <w:t>Vegan</w:t>
      </w:r>
      <w:proofErr w:type="spellEnd"/>
      <w:r>
        <w:t xml:space="preserve"> Strike Group in december 2021</w:t>
      </w:r>
      <w:r>
        <w:rPr>
          <w:rStyle w:val="Voetnootmarkering"/>
        </w:rPr>
        <w:footnoteReference w:id="10"/>
      </w:r>
      <w:r>
        <w:t xml:space="preserve"> en 2022</w:t>
      </w:r>
      <w:r w:rsidRPr="31E2D801">
        <w:rPr>
          <w:rStyle w:val="Voetnootmarkering"/>
        </w:rPr>
        <w:footnoteReference w:id="11"/>
      </w:r>
      <w:r>
        <w:t xml:space="preserve"> illegaal varkenshouderijen </w:t>
      </w:r>
      <w:proofErr w:type="gramStart"/>
      <w:r>
        <w:t>betreed</w:t>
      </w:r>
      <w:proofErr w:type="gramEnd"/>
      <w:r>
        <w:t xml:space="preserve"> en daar varkenskadavers gestolen, die vervolgens bij verschillende plekken zijn neergelegd. Zeer recent, in april 2024, heeft deze groep nog een pluimveehouderij illegaal </w:t>
      </w:r>
      <w:proofErr w:type="gramStart"/>
      <w:r>
        <w:t>betreed</w:t>
      </w:r>
      <w:proofErr w:type="gramEnd"/>
      <w:r>
        <w:t xml:space="preserve"> en pluimvee gestolen.</w:t>
      </w:r>
      <w:r>
        <w:rPr>
          <w:rStyle w:val="Voetnootmarkering"/>
        </w:rPr>
        <w:footnoteReference w:id="12"/>
      </w:r>
      <w:r>
        <w:t xml:space="preserve"> </w:t>
      </w:r>
      <w:proofErr w:type="gramStart"/>
      <w:r>
        <w:t>Tevens</w:t>
      </w:r>
      <w:proofErr w:type="gramEnd"/>
      <w:r>
        <w:t xml:space="preserve"> dringen dierenactivisten nog steeds illegaal stallen binnen, om zogenaamde “burgerinspecties” uit te voeren. Een Nederlands voorbeeld hiervan is het illegaal binnendringen bij een </w:t>
      </w:r>
      <w:proofErr w:type="spellStart"/>
      <w:r>
        <w:t>konijnenhouderij</w:t>
      </w:r>
      <w:proofErr w:type="spellEnd"/>
      <w:r>
        <w:t xml:space="preserve"> in 2023</w:t>
      </w:r>
      <w:r>
        <w:rPr>
          <w:rStyle w:val="Voetnootmarkering"/>
        </w:rPr>
        <w:footnoteReference w:id="13"/>
      </w:r>
      <w:r>
        <w:t>, maar andere Nederlandse voorbeelden zijn het illegaal maken van beelden bij melkveebedrijven in 2022</w:t>
      </w:r>
      <w:r>
        <w:rPr>
          <w:rStyle w:val="Voetnootmarkering"/>
        </w:rPr>
        <w:footnoteReference w:id="14"/>
      </w:r>
      <w:r>
        <w:t xml:space="preserve">, bij </w:t>
      </w:r>
      <w:proofErr w:type="spellStart"/>
      <w:r>
        <w:t>eendenhouderijen</w:t>
      </w:r>
      <w:proofErr w:type="spellEnd"/>
      <w:r>
        <w:t xml:space="preserve"> in 2024</w:t>
      </w:r>
      <w:r>
        <w:rPr>
          <w:rStyle w:val="Voetnootmarkering"/>
        </w:rPr>
        <w:footnoteReference w:id="15"/>
      </w:r>
      <w:r>
        <w:t xml:space="preserve"> en 2025</w:t>
      </w:r>
      <w:r>
        <w:rPr>
          <w:rStyle w:val="Voetnootmarkering"/>
        </w:rPr>
        <w:footnoteReference w:id="16"/>
      </w:r>
      <w:r>
        <w:t>, bij een boerenerf Ransdorp in oktober 2024</w:t>
      </w:r>
      <w:r>
        <w:rPr>
          <w:rStyle w:val="Voetnootmarkering"/>
        </w:rPr>
        <w:footnoteReference w:id="17"/>
      </w:r>
      <w:r>
        <w:t>, bij een pluimveebedrijf in november 2024</w:t>
      </w:r>
      <w:r>
        <w:rPr>
          <w:rStyle w:val="Voetnootmarkering"/>
        </w:rPr>
        <w:footnoteReference w:id="18"/>
      </w:r>
      <w:r>
        <w:t xml:space="preserve"> en bij een schapenbedrijf in november 2024</w:t>
      </w:r>
      <w:r>
        <w:rPr>
          <w:rStyle w:val="Voetnootmarkering"/>
        </w:rPr>
        <w:footnoteReference w:id="19"/>
      </w:r>
      <w:r>
        <w:t xml:space="preserve">. Ook maakte </w:t>
      </w:r>
      <w:proofErr w:type="spellStart"/>
      <w:r>
        <w:t>Animal</w:t>
      </w:r>
      <w:proofErr w:type="spellEnd"/>
      <w:r>
        <w:t xml:space="preserve"> </w:t>
      </w:r>
      <w:proofErr w:type="spellStart"/>
      <w:r>
        <w:t>Rights</w:t>
      </w:r>
      <w:proofErr w:type="spellEnd"/>
      <w:r>
        <w:t xml:space="preserve"> op 27 maart 2025 bekend dat zij illegaal waren binnengetreden bij een Nederlandse varkenshouder en daar illegaal opnames gemaakt hebben</w:t>
      </w:r>
      <w:r>
        <w:rPr>
          <w:rStyle w:val="Voetnootmarkering"/>
        </w:rPr>
        <w:footnoteReference w:id="20"/>
      </w:r>
      <w:r>
        <w:t>.</w:t>
      </w:r>
    </w:p>
    <w:p w14:paraId="29EFC549" w14:textId="77777777" w:rsidR="003C1EB0" w:rsidRPr="002775FC" w:rsidRDefault="003C1EB0" w:rsidP="002775FC">
      <w:pPr>
        <w:pStyle w:val="Lijstalinea"/>
        <w:spacing w:after="0" w:line="240" w:lineRule="auto"/>
        <w:ind w:left="709"/>
        <w:jc w:val="both"/>
        <w:rPr>
          <w:b/>
          <w:bCs/>
        </w:rPr>
      </w:pPr>
    </w:p>
    <w:p w14:paraId="4ABC6C5D" w14:textId="77777777" w:rsidR="00235412" w:rsidRPr="00235412" w:rsidRDefault="00D9720D" w:rsidP="00235412">
      <w:pPr>
        <w:pStyle w:val="Lijstalinea"/>
        <w:numPr>
          <w:ilvl w:val="2"/>
          <w:numId w:val="1"/>
        </w:numPr>
        <w:spacing w:after="0" w:line="240" w:lineRule="auto"/>
        <w:ind w:left="709" w:hanging="709"/>
        <w:jc w:val="both"/>
        <w:rPr>
          <w:b/>
          <w:bCs/>
        </w:rPr>
      </w:pPr>
      <w:r>
        <w:t xml:space="preserve">Het risico is </w:t>
      </w:r>
      <w:proofErr w:type="gramStart"/>
      <w:r>
        <w:t>derhalve</w:t>
      </w:r>
      <w:proofErr w:type="gramEnd"/>
      <w:r>
        <w:t xml:space="preserve"> groot dat de agrariërs, van wie </w:t>
      </w:r>
      <w:r w:rsidR="00A021F2">
        <w:t>u</w:t>
      </w:r>
      <w:r>
        <w:t xml:space="preserve"> besloten heeft de gegevens openbaar te maken, onderworpen gaan worden aan ongewenste benadering door klimaat- en dierenactivisten.</w:t>
      </w:r>
    </w:p>
    <w:p w14:paraId="496013F2" w14:textId="77777777" w:rsidR="00235412" w:rsidRPr="00235412" w:rsidRDefault="00235412" w:rsidP="00235412">
      <w:pPr>
        <w:pStyle w:val="Lijstalinea"/>
        <w:spacing w:after="0" w:line="240" w:lineRule="auto"/>
        <w:ind w:left="709"/>
        <w:jc w:val="both"/>
        <w:rPr>
          <w:b/>
          <w:bCs/>
        </w:rPr>
      </w:pPr>
    </w:p>
    <w:p w14:paraId="20DEF7C5" w14:textId="77777777" w:rsidR="00235412" w:rsidRPr="00235412" w:rsidRDefault="00D9720D" w:rsidP="00235412">
      <w:pPr>
        <w:pStyle w:val="Lijstalinea"/>
        <w:numPr>
          <w:ilvl w:val="2"/>
          <w:numId w:val="1"/>
        </w:numPr>
        <w:spacing w:after="0" w:line="240" w:lineRule="auto"/>
        <w:ind w:left="709" w:hanging="709"/>
        <w:jc w:val="both"/>
        <w:rPr>
          <w:b/>
          <w:bCs/>
        </w:rPr>
      </w:pPr>
      <w:r>
        <w:t xml:space="preserve">Dat openbaarmaking van persoonsgegevens ook daadwerkelijk tot intimidatie leidt volgt ook uit de intimidatie en ongewenste benadering die de vennoten van een veehandelaar in Oudemolen moesten ondergaan, nadat Stichting </w:t>
      </w:r>
      <w:proofErr w:type="spellStart"/>
      <w:r>
        <w:t>Animal</w:t>
      </w:r>
      <w:proofErr w:type="spellEnd"/>
      <w:r>
        <w:t xml:space="preserve"> </w:t>
      </w:r>
      <w:proofErr w:type="spellStart"/>
      <w:r>
        <w:t>Rights</w:t>
      </w:r>
      <w:proofErr w:type="spellEnd"/>
      <w:r>
        <w:t xml:space="preserve"> hun persoonsgegevens openbaar maakte.</w:t>
      </w:r>
      <w:r>
        <w:rPr>
          <w:rStyle w:val="Voetnootmarkering"/>
        </w:rPr>
        <w:footnoteReference w:id="21"/>
      </w:r>
      <w:r>
        <w:t xml:space="preserve"> </w:t>
      </w:r>
    </w:p>
    <w:p w14:paraId="24D407FA" w14:textId="77777777" w:rsidR="00235412" w:rsidRDefault="00235412" w:rsidP="00235412">
      <w:pPr>
        <w:pStyle w:val="Lijstalinea"/>
      </w:pPr>
    </w:p>
    <w:p w14:paraId="7A932F4B" w14:textId="77777777" w:rsidR="00235412" w:rsidRPr="00235412" w:rsidRDefault="00D9720D" w:rsidP="00235412">
      <w:pPr>
        <w:pStyle w:val="Lijstalinea"/>
        <w:numPr>
          <w:ilvl w:val="2"/>
          <w:numId w:val="1"/>
        </w:numPr>
        <w:spacing w:after="0" w:line="240" w:lineRule="auto"/>
        <w:ind w:left="709" w:hanging="709"/>
        <w:jc w:val="both"/>
        <w:rPr>
          <w:b/>
          <w:bCs/>
        </w:rPr>
      </w:pPr>
      <w:r>
        <w:t xml:space="preserve">Het grote risico van dierenrechtenactivisme wordt ook bevestigd door recent onderzoek van LTO, waarvan de uitkomsten in november 2024 zijn gepubliceerd. </w:t>
      </w:r>
      <w:r w:rsidRPr="0044027E">
        <w:t xml:space="preserve">LTO Nederland, POV en </w:t>
      </w:r>
      <w:proofErr w:type="spellStart"/>
      <w:r w:rsidRPr="0044027E">
        <w:t>Vee&amp;Logistiek</w:t>
      </w:r>
      <w:proofErr w:type="spellEnd"/>
      <w:r w:rsidRPr="0044027E">
        <w:t xml:space="preserve"> Nederland hebben </w:t>
      </w:r>
      <w:r>
        <w:t xml:space="preserve">voor het onderzoek </w:t>
      </w:r>
      <w:r w:rsidRPr="0044027E">
        <w:t xml:space="preserve">een enquête uitgezet onder boeren, veehandelaren en </w:t>
      </w:r>
      <w:proofErr w:type="spellStart"/>
      <w:r w:rsidRPr="0044027E">
        <w:t>veetransporteurs</w:t>
      </w:r>
      <w:proofErr w:type="spellEnd"/>
      <w:r w:rsidRPr="0044027E">
        <w:t xml:space="preserve"> naar de consequenties van </w:t>
      </w:r>
      <w:proofErr w:type="spellStart"/>
      <w:r w:rsidRPr="0044027E">
        <w:t>Woo</w:t>
      </w:r>
      <w:proofErr w:type="spellEnd"/>
      <w:r w:rsidRPr="0044027E">
        <w:t xml:space="preserve">-verzoeken. Deze enquête is door de achterban van LTO Nederland, POV en </w:t>
      </w:r>
      <w:proofErr w:type="spellStart"/>
      <w:r w:rsidRPr="0044027E">
        <w:t>Vee&amp;Logistiek</w:t>
      </w:r>
      <w:proofErr w:type="spellEnd"/>
      <w:r w:rsidRPr="0044027E">
        <w:t xml:space="preserve"> Nederland ingevuld. 65% van hen had persoonlijk te maken met een </w:t>
      </w:r>
      <w:proofErr w:type="spellStart"/>
      <w:r w:rsidRPr="0044027E">
        <w:t>Woo</w:t>
      </w:r>
      <w:proofErr w:type="spellEnd"/>
      <w:r w:rsidRPr="0044027E">
        <w:t xml:space="preserve">-verzoek waardoor eigen bedrijfsinformatie </w:t>
      </w:r>
      <w:r w:rsidRPr="0044027E">
        <w:lastRenderedPageBreak/>
        <w:t xml:space="preserve">openbaar werd gemaakt. Daarvan gaf 33% aan dat publicatie leidde tot laster, treiterijen, intimidatie, bedreiging of erger. Van alle respondenten gaf 56% aan dat </w:t>
      </w:r>
      <w:proofErr w:type="spellStart"/>
      <w:r w:rsidRPr="0044027E">
        <w:t>Woo</w:t>
      </w:r>
      <w:proofErr w:type="spellEnd"/>
      <w:r w:rsidRPr="0044027E">
        <w:t xml:space="preserve">-publicaties over de agrarische sector leiden tot een toename aan incidenten en 83% dat zij bang zijn voor laster, intimidatie en bedreiging op het moment dat informatie over boeren </w:t>
      </w:r>
      <w:proofErr w:type="gramStart"/>
      <w:r w:rsidRPr="0044027E">
        <w:t>middels</w:t>
      </w:r>
      <w:proofErr w:type="gramEnd"/>
      <w:r w:rsidRPr="0044027E">
        <w:t xml:space="preserve"> de </w:t>
      </w:r>
      <w:proofErr w:type="spellStart"/>
      <w:r w:rsidRPr="0044027E">
        <w:t>Woo</w:t>
      </w:r>
      <w:proofErr w:type="spellEnd"/>
      <w:r w:rsidRPr="0044027E">
        <w:t xml:space="preserve"> openbaar wordt gemaakt.</w:t>
      </w:r>
      <w:r>
        <w:rPr>
          <w:rStyle w:val="Voetnootmarkering"/>
        </w:rPr>
        <w:footnoteReference w:id="22"/>
      </w:r>
    </w:p>
    <w:p w14:paraId="7B8A3D43" w14:textId="77777777" w:rsidR="00235412" w:rsidRDefault="00235412" w:rsidP="00235412">
      <w:pPr>
        <w:pStyle w:val="Lijstalinea"/>
      </w:pPr>
    </w:p>
    <w:p w14:paraId="72C12975" w14:textId="76C18EE0" w:rsidR="00D9720D" w:rsidRPr="00235412" w:rsidRDefault="00D9720D" w:rsidP="00235412">
      <w:pPr>
        <w:pStyle w:val="Lijstalinea"/>
        <w:numPr>
          <w:ilvl w:val="2"/>
          <w:numId w:val="1"/>
        </w:numPr>
        <w:spacing w:after="0" w:line="240" w:lineRule="auto"/>
        <w:ind w:left="709" w:hanging="709"/>
        <w:jc w:val="both"/>
        <w:rPr>
          <w:b/>
          <w:bCs/>
        </w:rPr>
      </w:pPr>
      <w:r>
        <w:t>De minister van Justitie en Veiligheid reageerde recent (op 1 juli 2025) in de Kamer op de kentering in het dreigingsprofiel van de NCTV ten aanzien van dierenrechtenactivisme</w:t>
      </w:r>
      <w:r>
        <w:rPr>
          <w:rStyle w:val="Voetnootmarkering"/>
        </w:rPr>
        <w:footnoteReference w:id="23"/>
      </w:r>
      <w:r>
        <w:t>:</w:t>
      </w:r>
    </w:p>
    <w:p w14:paraId="77606C5B" w14:textId="77777777" w:rsidR="00D9720D" w:rsidRDefault="00D9720D" w:rsidP="00D9720D">
      <w:pPr>
        <w:pStyle w:val="Lijstalinea"/>
        <w:spacing w:after="0" w:line="240" w:lineRule="auto"/>
        <w:ind w:left="360"/>
        <w:jc w:val="both"/>
        <w:rPr>
          <w:i/>
          <w:iCs/>
        </w:rPr>
      </w:pPr>
    </w:p>
    <w:p w14:paraId="4929CCD4" w14:textId="77777777" w:rsidR="00D9720D" w:rsidRPr="00B447AE" w:rsidRDefault="00D9720D" w:rsidP="00D9720D">
      <w:pPr>
        <w:pStyle w:val="Lijstalinea"/>
        <w:pBdr>
          <w:left w:val="single" w:sz="4" w:space="4" w:color="auto"/>
        </w:pBdr>
        <w:spacing w:after="0" w:line="240" w:lineRule="auto"/>
        <w:ind w:left="1416"/>
        <w:jc w:val="both"/>
      </w:pPr>
      <w:r w:rsidRPr="00B447AE">
        <w:rPr>
          <w:i/>
          <w:iCs/>
        </w:rPr>
        <w:t>“Maar in algemene zin kan ik u zeggen dat de NCTV hier bovenop zit en kijkt waar de grens van activisme naar extremisme wordt opgerekt. Want als het gaat over het intimideren van bestuurders, over het begaan van strafbare feiten op iemands erf en over brandstichten, dan hebben we het over extremistische daden en niet meer over activisme.</w:t>
      </w:r>
    </w:p>
    <w:p w14:paraId="63A3BEE6" w14:textId="77777777" w:rsidR="00D9720D" w:rsidRDefault="00D9720D" w:rsidP="00D9720D">
      <w:pPr>
        <w:pStyle w:val="Lijstalinea"/>
        <w:pBdr>
          <w:left w:val="single" w:sz="4" w:space="4" w:color="auto"/>
        </w:pBdr>
        <w:spacing w:line="240" w:lineRule="auto"/>
        <w:ind w:left="1416"/>
        <w:jc w:val="both"/>
        <w:rPr>
          <w:i/>
          <w:iCs/>
        </w:rPr>
      </w:pPr>
    </w:p>
    <w:p w14:paraId="1BDF6E40" w14:textId="77777777" w:rsidR="00D9720D" w:rsidRDefault="00D9720D" w:rsidP="00D9720D">
      <w:pPr>
        <w:pStyle w:val="Lijstalinea"/>
        <w:pBdr>
          <w:left w:val="single" w:sz="4" w:space="4" w:color="auto"/>
        </w:pBdr>
        <w:ind w:left="1416"/>
        <w:jc w:val="both"/>
      </w:pPr>
      <w:r>
        <w:rPr>
          <w:i/>
          <w:iCs/>
        </w:rPr>
        <w:t xml:space="preserve">Dat fenomeen wordt door de NCTV in kaart gebracht. Dat is ook meteen het antwoord op uw vraag of het ALF op een lijst staat. De afgelopen jaren hebben wij, </w:t>
      </w:r>
      <w:proofErr w:type="gramStart"/>
      <w:r>
        <w:rPr>
          <w:i/>
          <w:iCs/>
        </w:rPr>
        <w:t>blijkens</w:t>
      </w:r>
      <w:proofErr w:type="gramEnd"/>
      <w:r>
        <w:rPr>
          <w:i/>
          <w:iCs/>
        </w:rPr>
        <w:t xml:space="preserve"> het dreigingsbeeld van terrorisme in Nederland, te maken gehad met een vrij laag niveau van dierenactivisme, zonder toepassing van geweld</w:t>
      </w:r>
      <w:r>
        <w:rPr>
          <w:i/>
          <w:iCs/>
          <w:u w:val="single"/>
        </w:rPr>
        <w:t xml:space="preserve">. Ik denk dat we nu een aantal voorbeelden zien die, als het ALF hier inderdaad achter zou blijken te zitten, aantonen dat hier mogelijk sprake is van een kentering. </w:t>
      </w:r>
      <w:r>
        <w:rPr>
          <w:i/>
          <w:iCs/>
        </w:rPr>
        <w:t>Als dat zo is, dan gaan we daarop acteren. Want ik ben het met u eens: dit soort acties kunnen we niet tolereren. Die vormen niet alleen een gevaar voor de bestuurders of de eigenaren van de bedrijven, maar ook voor hun omgeving. Dat moeten we niet tolereren.”</w:t>
      </w:r>
    </w:p>
    <w:p w14:paraId="659547EB" w14:textId="77777777" w:rsidR="00D9720D" w:rsidRPr="00003CD5" w:rsidRDefault="00D9720D" w:rsidP="00D9720D">
      <w:pPr>
        <w:pStyle w:val="Lijstalinea"/>
        <w:spacing w:after="0" w:line="240" w:lineRule="auto"/>
        <w:ind w:left="709"/>
        <w:jc w:val="both"/>
        <w:rPr>
          <w:b/>
          <w:bCs/>
        </w:rPr>
      </w:pPr>
    </w:p>
    <w:p w14:paraId="558CC576" w14:textId="3906BEC8" w:rsidR="00A021F2" w:rsidRPr="00A021F2" w:rsidRDefault="00A021F2" w:rsidP="006F196D">
      <w:pPr>
        <w:pStyle w:val="Lijstalinea"/>
        <w:numPr>
          <w:ilvl w:val="2"/>
          <w:numId w:val="1"/>
        </w:numPr>
        <w:spacing w:after="0" w:line="240" w:lineRule="auto"/>
        <w:jc w:val="both"/>
        <w:rPr>
          <w:b/>
          <w:bCs/>
        </w:rPr>
      </w:pPr>
      <w:r>
        <w:t>Nog recenter herhaalde de minister van Justitie en Veiligheid dit</w:t>
      </w:r>
      <w:r>
        <w:rPr>
          <w:rStyle w:val="Voetnootmarkering"/>
        </w:rPr>
        <w:footnoteReference w:id="24"/>
      </w:r>
      <w:r>
        <w:t xml:space="preserve"> (op 2 september 2025):</w:t>
      </w:r>
    </w:p>
    <w:p w14:paraId="6BD080BD" w14:textId="77777777" w:rsidR="00A021F2" w:rsidRDefault="00A021F2" w:rsidP="00A021F2">
      <w:pPr>
        <w:pStyle w:val="Lijstalinea"/>
        <w:spacing w:after="0" w:line="240" w:lineRule="auto"/>
        <w:ind w:left="709"/>
        <w:jc w:val="both"/>
      </w:pPr>
    </w:p>
    <w:p w14:paraId="29C68933" w14:textId="62B7D602" w:rsidR="00A021F2" w:rsidRPr="00A021F2" w:rsidRDefault="00A021F2" w:rsidP="00A021F2">
      <w:pPr>
        <w:pStyle w:val="Lijstalinea"/>
        <w:pBdr>
          <w:left w:val="single" w:sz="4" w:space="4" w:color="auto"/>
        </w:pBdr>
        <w:spacing w:after="0" w:line="240" w:lineRule="auto"/>
        <w:ind w:left="1416"/>
        <w:jc w:val="both"/>
        <w:rPr>
          <w:i/>
          <w:iCs/>
        </w:rPr>
      </w:pPr>
      <w:r>
        <w:rPr>
          <w:i/>
          <w:iCs/>
        </w:rPr>
        <w:t>“</w:t>
      </w:r>
      <w:r w:rsidRPr="00A021F2">
        <w:rPr>
          <w:i/>
          <w:iCs/>
        </w:rPr>
        <w:t xml:space="preserve">We hebben nu een aantal voorbeelden gezien. Ik denk aan de vermoedelijke brandstichting op grond van extremistische motieven — dat heb ik eerder zo genoemd tegenover u — bij </w:t>
      </w:r>
      <w:proofErr w:type="spellStart"/>
      <w:r w:rsidRPr="00A021F2">
        <w:rPr>
          <w:i/>
          <w:iCs/>
        </w:rPr>
        <w:t>Plukon</w:t>
      </w:r>
      <w:proofErr w:type="spellEnd"/>
      <w:r w:rsidRPr="00A021F2">
        <w:rPr>
          <w:i/>
          <w:iCs/>
        </w:rPr>
        <w:t xml:space="preserve">. We hebben nu Adriaan B. gehad, die dreigt met extremistische acties tegen het kantoor van BBB. </w:t>
      </w:r>
      <w:r w:rsidRPr="00A021F2">
        <w:rPr>
          <w:b/>
          <w:bCs/>
          <w:i/>
          <w:iCs/>
          <w:u w:val="single"/>
        </w:rPr>
        <w:t>Dat zal ook aanleiding zijn om in volgende rapportages anders te kijken naar dit fenomeen.</w:t>
      </w:r>
      <w:r w:rsidRPr="00A021F2">
        <w:rPr>
          <w:i/>
          <w:iCs/>
        </w:rPr>
        <w:t xml:space="preserve"> Het staat nu dus op de radar. We hebben daar oog voor. En ja, helaas ijl je in beschouwingen altijd wat na over hoe het fenomeen zich ontwikkelt. Maar laat ik helder zijn: dit soort acties zijn extremistisch, niet meer activistisch.</w:t>
      </w:r>
      <w:r>
        <w:rPr>
          <w:i/>
          <w:iCs/>
        </w:rPr>
        <w:t>”</w:t>
      </w:r>
    </w:p>
    <w:p w14:paraId="10DD3AA1" w14:textId="77777777" w:rsidR="00A021F2" w:rsidRPr="00A021F2" w:rsidRDefault="00A021F2" w:rsidP="00A021F2">
      <w:pPr>
        <w:pStyle w:val="Lijstalinea"/>
        <w:spacing w:after="0" w:line="240" w:lineRule="auto"/>
        <w:ind w:left="709"/>
        <w:jc w:val="both"/>
        <w:rPr>
          <w:b/>
          <w:bCs/>
        </w:rPr>
      </w:pPr>
    </w:p>
    <w:p w14:paraId="2AF4E4D4" w14:textId="5BDD582E" w:rsidR="00D9720D" w:rsidRPr="00BF5224" w:rsidRDefault="00D9720D" w:rsidP="00C8731B">
      <w:pPr>
        <w:pStyle w:val="Lijstalinea"/>
        <w:numPr>
          <w:ilvl w:val="2"/>
          <w:numId w:val="1"/>
        </w:numPr>
        <w:spacing w:after="0" w:line="240" w:lineRule="auto"/>
        <w:ind w:left="709" w:hanging="709"/>
        <w:jc w:val="both"/>
        <w:rPr>
          <w:b/>
          <w:bCs/>
        </w:rPr>
      </w:pPr>
      <w:r>
        <w:t xml:space="preserve">Verder wordt opgemerkt dat het risico van intimidatie van agrariërs door dierenrechtenactivisten nog groter is geworden door de recente vrijspraak van stalbezetters door het </w:t>
      </w:r>
      <w:r w:rsidRPr="006E746D">
        <w:t xml:space="preserve">Gerechtshof </w:t>
      </w:r>
      <w:r>
        <w:t>’</w:t>
      </w:r>
      <w:r w:rsidRPr="006E746D">
        <w:t>s-Hertogenbosch</w:t>
      </w:r>
      <w:r>
        <w:t xml:space="preserve"> (</w:t>
      </w:r>
      <w:r w:rsidRPr="006E746D">
        <w:t xml:space="preserve">Gerechtshof </w:t>
      </w:r>
      <w:r>
        <w:t>’</w:t>
      </w:r>
      <w:r w:rsidRPr="006E746D">
        <w:t>s-Hertogenbosch</w:t>
      </w:r>
      <w:r>
        <w:t xml:space="preserve"> 16 december 2024, </w:t>
      </w:r>
      <w:r w:rsidRPr="006E746D">
        <w:t>ECLI:</w:t>
      </w:r>
      <w:proofErr w:type="gramStart"/>
      <w:r w:rsidRPr="006E746D">
        <w:t>NL:GHSHE</w:t>
      </w:r>
      <w:proofErr w:type="gramEnd"/>
      <w:r w:rsidRPr="006E746D">
        <w:t>:2024:4005</w:t>
      </w:r>
      <w:r>
        <w:t xml:space="preserve">). Deze recente uitspraak verlaagt de drempel om voor dierenrechtenactivisten om veehouders ongewenst te benaderen, illegaal opnames te maken of om zelfs stallen binnen te treden of de bezetten. </w:t>
      </w:r>
    </w:p>
    <w:p w14:paraId="0FFB666B" w14:textId="77777777" w:rsidR="00D9720D" w:rsidRDefault="00D9720D" w:rsidP="00C8731B">
      <w:pPr>
        <w:spacing w:after="0" w:line="240" w:lineRule="auto"/>
        <w:ind w:left="709" w:hanging="709"/>
        <w:jc w:val="both"/>
      </w:pPr>
    </w:p>
    <w:p w14:paraId="3A94E2B3" w14:textId="77777777" w:rsidR="00D9720D" w:rsidRPr="00BF5224" w:rsidRDefault="00D9720D" w:rsidP="00C8731B">
      <w:pPr>
        <w:pStyle w:val="Lijstalinea"/>
        <w:numPr>
          <w:ilvl w:val="2"/>
          <w:numId w:val="1"/>
        </w:numPr>
        <w:spacing w:after="0" w:line="240" w:lineRule="auto"/>
        <w:ind w:left="709" w:hanging="709"/>
        <w:jc w:val="both"/>
        <w:rPr>
          <w:b/>
          <w:bCs/>
        </w:rPr>
      </w:pPr>
      <w:r>
        <w:t>Overigens wordt in de jurisprudentie het risico op dierenactivisme breed onderkend. Zoals uitstekend wordt samengevat in een uitspraak van de Rechtbank Den Haag van 3 maart 2021 (ECLI:</w:t>
      </w:r>
      <w:proofErr w:type="gramStart"/>
      <w:r>
        <w:t>NL:RBDHA</w:t>
      </w:r>
      <w:proofErr w:type="gramEnd"/>
      <w:r>
        <w:t>:2021:1956):</w:t>
      </w:r>
    </w:p>
    <w:p w14:paraId="7CC9BFF8" w14:textId="77777777" w:rsidR="00D9720D" w:rsidRDefault="00D9720D" w:rsidP="00C8731B">
      <w:pPr>
        <w:spacing w:after="0" w:line="240" w:lineRule="auto"/>
        <w:ind w:left="709" w:hanging="709"/>
        <w:jc w:val="both"/>
      </w:pPr>
      <w:r>
        <w:t xml:space="preserve"> </w:t>
      </w:r>
    </w:p>
    <w:p w14:paraId="62D69037" w14:textId="77777777" w:rsidR="00D9720D" w:rsidRDefault="00D9720D" w:rsidP="00C8731B">
      <w:pPr>
        <w:pBdr>
          <w:left w:val="single" w:sz="4" w:space="4" w:color="auto"/>
        </w:pBdr>
        <w:spacing w:after="0" w:line="240" w:lineRule="auto"/>
        <w:ind w:left="709"/>
        <w:jc w:val="both"/>
      </w:pPr>
      <w:r w:rsidRPr="31E2D801">
        <w:rPr>
          <w:i/>
          <w:iCs/>
        </w:rPr>
        <w:lastRenderedPageBreak/>
        <w:t xml:space="preserve">“9.5. </w:t>
      </w:r>
      <w:r w:rsidRPr="31E2D801">
        <w:rPr>
          <w:b/>
          <w:bCs/>
          <w:i/>
          <w:iCs/>
        </w:rPr>
        <w:t>Zoals verweerder en Erasmus MC terecht hebben gesteld, blijkt uit jurisprudentie van de Afdeling over mogelijke doelwitten van dierenrechtenactivisme (zie onder meer de uitspraken van 14 februari 2018, ECLI:</w:t>
      </w:r>
      <w:proofErr w:type="gramStart"/>
      <w:r w:rsidRPr="31E2D801">
        <w:rPr>
          <w:b/>
          <w:bCs/>
          <w:i/>
          <w:iCs/>
        </w:rPr>
        <w:t>NL:RVS</w:t>
      </w:r>
      <w:proofErr w:type="gramEnd"/>
      <w:r w:rsidRPr="31E2D801">
        <w:rPr>
          <w:b/>
          <w:bCs/>
          <w:i/>
          <w:iCs/>
        </w:rPr>
        <w:t>:2018:492, 18 april 2018, ECLI:</w:t>
      </w:r>
      <w:proofErr w:type="gramStart"/>
      <w:r w:rsidRPr="31E2D801">
        <w:rPr>
          <w:b/>
          <w:bCs/>
          <w:i/>
          <w:iCs/>
        </w:rPr>
        <w:t>NL:RVS</w:t>
      </w:r>
      <w:proofErr w:type="gramEnd"/>
      <w:r w:rsidRPr="31E2D801">
        <w:rPr>
          <w:b/>
          <w:bCs/>
          <w:i/>
          <w:iCs/>
        </w:rPr>
        <w:t>:2018:1282 en 13 februari 2019, ECLI:</w:t>
      </w:r>
      <w:proofErr w:type="gramStart"/>
      <w:r w:rsidRPr="31E2D801">
        <w:rPr>
          <w:b/>
          <w:bCs/>
          <w:i/>
          <w:iCs/>
        </w:rPr>
        <w:t>NL:RVS</w:t>
      </w:r>
      <w:proofErr w:type="gramEnd"/>
      <w:r w:rsidRPr="31E2D801">
        <w:rPr>
          <w:b/>
          <w:bCs/>
          <w:i/>
          <w:iCs/>
        </w:rPr>
        <w:t>:2019:440) dat de vrees voor dierenrechtenactivisme in het algemeen gerechtvaardigd is</w:t>
      </w:r>
      <w:r w:rsidRPr="31E2D801">
        <w:rPr>
          <w:i/>
          <w:iCs/>
        </w:rPr>
        <w:t>. In het bestreden besluit en het verweerschrift heeft verweerder toegelicht dat dierenrechtenextremisme onvoorspelbaar is en met golven komt en gaat. Dit wordt ondersteund door rapportages van de Nationaal Coördinator Terrorisme en Veiligheid. In tegenstelling tot eisers betoog, hoeft een concrete dreiging ten aanzien van Erasmus MC niet te worden aangetoond (zie ook de uitspraak van de Afdeling van 13 maart 2019, ECLI:</w:t>
      </w:r>
      <w:proofErr w:type="gramStart"/>
      <w:r w:rsidRPr="31E2D801">
        <w:rPr>
          <w:i/>
          <w:iCs/>
        </w:rPr>
        <w:t>NL:RVS</w:t>
      </w:r>
      <w:proofErr w:type="gramEnd"/>
      <w:r w:rsidRPr="31E2D801">
        <w:rPr>
          <w:i/>
          <w:iCs/>
        </w:rPr>
        <w:t>:2019:795).</w:t>
      </w:r>
    </w:p>
    <w:p w14:paraId="5C678963" w14:textId="77777777" w:rsidR="00D9720D" w:rsidRPr="00F07C8E" w:rsidRDefault="00D9720D" w:rsidP="00C8731B">
      <w:pPr>
        <w:pBdr>
          <w:left w:val="single" w:sz="4" w:space="4" w:color="auto"/>
        </w:pBdr>
        <w:spacing w:after="0" w:line="240" w:lineRule="auto"/>
        <w:ind w:left="709"/>
        <w:jc w:val="both"/>
      </w:pPr>
    </w:p>
    <w:p w14:paraId="0B0E7B07" w14:textId="77777777" w:rsidR="00D9720D" w:rsidRDefault="00D9720D" w:rsidP="00C8731B">
      <w:pPr>
        <w:pBdr>
          <w:left w:val="single" w:sz="4" w:space="4" w:color="auto"/>
        </w:pBdr>
        <w:spacing w:after="0" w:line="240" w:lineRule="auto"/>
        <w:ind w:left="709"/>
        <w:jc w:val="both"/>
        <w:rPr>
          <w:i/>
          <w:iCs/>
        </w:rPr>
      </w:pPr>
      <w:r w:rsidRPr="31E2D801">
        <w:rPr>
          <w:i/>
          <w:iCs/>
        </w:rPr>
        <w:t xml:space="preserve">9.6. In dit geval heeft verweerder, zoals ook gemotiveerd in het bestreden besluit en het verweerschrift, van belang geacht dat vanwege de formulering van het </w:t>
      </w:r>
      <w:proofErr w:type="spellStart"/>
      <w:r w:rsidRPr="31E2D801">
        <w:rPr>
          <w:i/>
          <w:iCs/>
        </w:rPr>
        <w:t>Wob</w:t>
      </w:r>
      <w:proofErr w:type="spellEnd"/>
      <w:r w:rsidRPr="31E2D801">
        <w:rPr>
          <w:i/>
          <w:iCs/>
        </w:rPr>
        <w:t>-verzoek alle eventueel openbaar gemaakte gegevens direct herleidbaar zijn naar (specifieke dierproeven van) Erasmus MC. Via openbare bronnen zou dan vervolgens een koppeling gemaakt kunnen worden tussen deze gegevens en de betreffende onderzoekers en onderzoeksgroepen. Hiermee worden de betrokken medewerkers van Erasmus MC extra kwetsbaar gemaakt voor dierenrechtenactivisme. Gelet op het voorgaande is de rechtbank van oordeel dat verweerder het belang van de eerbiediging van de persoonlijke levenssfeer en het voorkomen van onevenredige benadeling van Erasmus MC zwaarder heeft mogen laten wegen dan het belang van openbaarmaking van de verzochte informatie. Verweerder mocht het verzoek van eiser tot openbaarmaking van de stukken dan ook in zijn geheel weigeren.”</w:t>
      </w:r>
    </w:p>
    <w:p w14:paraId="459269C6" w14:textId="77777777" w:rsidR="00D9720D" w:rsidRDefault="00D9720D" w:rsidP="00C8731B">
      <w:pPr>
        <w:spacing w:after="0" w:line="240" w:lineRule="auto"/>
        <w:ind w:left="709" w:hanging="709"/>
        <w:jc w:val="both"/>
      </w:pPr>
    </w:p>
    <w:p w14:paraId="1CF0AD8B" w14:textId="77777777" w:rsidR="00D9720D" w:rsidRPr="00003CD5" w:rsidRDefault="00D9720D" w:rsidP="00C8731B">
      <w:pPr>
        <w:pStyle w:val="Lijstalinea"/>
        <w:numPr>
          <w:ilvl w:val="2"/>
          <w:numId w:val="1"/>
        </w:numPr>
        <w:spacing w:after="0" w:line="240" w:lineRule="auto"/>
        <w:ind w:left="709"/>
        <w:jc w:val="both"/>
        <w:rPr>
          <w:b/>
          <w:bCs/>
        </w:rPr>
      </w:pPr>
      <w:r>
        <w:t xml:space="preserve">Naast dierenrechtenactivisme, is het risico aanwezig dat veehouders geconfronteerd worden met klimaat- of milieuactivisten. Met regelmaat hebben groeperingen als </w:t>
      </w:r>
      <w:proofErr w:type="spellStart"/>
      <w:r>
        <w:t>Extinction</w:t>
      </w:r>
      <w:proofErr w:type="spellEnd"/>
      <w:r>
        <w:t xml:space="preserve"> </w:t>
      </w:r>
      <w:proofErr w:type="spellStart"/>
      <w:r>
        <w:t>Rebellion</w:t>
      </w:r>
      <w:proofErr w:type="spellEnd"/>
      <w:r>
        <w:t xml:space="preserve"> in het recente verleden strafbare feiten gepleegd door erf- en lokaalvredebreuk te plegen en bedrijven te bezetten. </w:t>
      </w:r>
    </w:p>
    <w:p w14:paraId="583E7474" w14:textId="77777777" w:rsidR="00D9720D" w:rsidRPr="00003CD5" w:rsidRDefault="00D9720D" w:rsidP="00C8731B">
      <w:pPr>
        <w:pStyle w:val="Lijstalinea"/>
        <w:spacing w:after="0" w:line="240" w:lineRule="auto"/>
        <w:ind w:left="709"/>
        <w:jc w:val="both"/>
        <w:rPr>
          <w:b/>
          <w:bCs/>
        </w:rPr>
      </w:pPr>
    </w:p>
    <w:p w14:paraId="6F066080" w14:textId="77777777" w:rsidR="00D9720D" w:rsidRPr="00B805FE" w:rsidRDefault="00D9720D" w:rsidP="00C8731B">
      <w:pPr>
        <w:pStyle w:val="Lijstalinea"/>
        <w:numPr>
          <w:ilvl w:val="2"/>
          <w:numId w:val="1"/>
        </w:numPr>
        <w:spacing w:after="0" w:line="240" w:lineRule="auto"/>
        <w:ind w:left="709"/>
        <w:jc w:val="both"/>
        <w:rPr>
          <w:b/>
          <w:bCs/>
        </w:rPr>
      </w:pPr>
      <w:r>
        <w:t xml:space="preserve">Op grond van artikel 6, van </w:t>
      </w:r>
      <w:r w:rsidRPr="00BF5224">
        <w:t>V</w:t>
      </w:r>
      <w:r>
        <w:t>o.</w:t>
      </w:r>
      <w:r w:rsidRPr="00BF5224">
        <w:t xml:space="preserve"> (EU) 2016/679</w:t>
      </w:r>
      <w:r>
        <w:t xml:space="preserve"> (Algemene verordening gegevensbescherming; AVG), mogen de persoonsgegevens in </w:t>
      </w:r>
      <w:proofErr w:type="spellStart"/>
      <w:r>
        <w:t>casu</w:t>
      </w:r>
      <w:proofErr w:type="spellEnd"/>
      <w:r>
        <w:t xml:space="preserve"> niet openbaar gemaakt worden omdat in </w:t>
      </w:r>
      <w:proofErr w:type="spellStart"/>
      <w:r>
        <w:t>casu</w:t>
      </w:r>
      <w:proofErr w:type="spellEnd"/>
      <w:r>
        <w:t xml:space="preserve"> geen sprake is van toestemming van betrokken of van een situatie waarbij openbaarmaking evenredig is met het belang van de bescherming van de persoonlijke levenssfeer van de veehouders. Hierbij wordt opgemerkt dat een de AVG een groot belang hecht aan de bescherming van de persoonlijke levenssfeer en een belangenafweging op basis van de AVG boven een belangenafweging op basis van de </w:t>
      </w:r>
      <w:proofErr w:type="spellStart"/>
      <w:r>
        <w:t>Woo</w:t>
      </w:r>
      <w:proofErr w:type="spellEnd"/>
      <w:r>
        <w:t xml:space="preserve"> gaat. </w:t>
      </w:r>
    </w:p>
    <w:p w14:paraId="62B110F3" w14:textId="77777777" w:rsidR="00D9720D" w:rsidRPr="00B805FE" w:rsidRDefault="00D9720D" w:rsidP="00C8731B">
      <w:pPr>
        <w:pStyle w:val="Lijstalinea"/>
        <w:spacing w:after="0" w:line="240" w:lineRule="auto"/>
        <w:ind w:left="709"/>
        <w:jc w:val="both"/>
        <w:rPr>
          <w:b/>
          <w:bCs/>
        </w:rPr>
      </w:pPr>
    </w:p>
    <w:p w14:paraId="3DE41D42" w14:textId="77777777" w:rsidR="00D9720D" w:rsidRPr="006A57E3" w:rsidRDefault="00D9720D" w:rsidP="00C8731B">
      <w:pPr>
        <w:pStyle w:val="Lijstalinea"/>
        <w:numPr>
          <w:ilvl w:val="2"/>
          <w:numId w:val="1"/>
        </w:numPr>
        <w:spacing w:after="0" w:line="240" w:lineRule="auto"/>
        <w:ind w:left="709"/>
        <w:jc w:val="both"/>
        <w:rPr>
          <w:b/>
          <w:bCs/>
        </w:rPr>
      </w:pPr>
      <w:r>
        <w:t>In dit kader wordt ook verwezen naar de recente Belgische uitspraak die eerder is aangehaald.</w:t>
      </w:r>
    </w:p>
    <w:p w14:paraId="734344CA" w14:textId="77777777" w:rsidR="00D9720D" w:rsidRPr="006A57E3" w:rsidRDefault="00D9720D" w:rsidP="00C8731B">
      <w:pPr>
        <w:pStyle w:val="Lijstalinea"/>
        <w:spacing w:after="0" w:line="240" w:lineRule="auto"/>
        <w:ind w:left="709"/>
        <w:jc w:val="both"/>
        <w:rPr>
          <w:b/>
          <w:bCs/>
        </w:rPr>
      </w:pPr>
      <w:r>
        <w:t xml:space="preserve"> </w:t>
      </w:r>
    </w:p>
    <w:p w14:paraId="76B2F516" w14:textId="77777777" w:rsidR="00D9720D" w:rsidRPr="008742F1" w:rsidRDefault="00D9720D" w:rsidP="00C8731B">
      <w:pPr>
        <w:pStyle w:val="Lijstalinea"/>
        <w:numPr>
          <w:ilvl w:val="2"/>
          <w:numId w:val="1"/>
        </w:numPr>
        <w:spacing w:after="0" w:line="240" w:lineRule="auto"/>
        <w:ind w:left="709"/>
        <w:jc w:val="both"/>
        <w:rPr>
          <w:b/>
          <w:bCs/>
        </w:rPr>
      </w:pPr>
      <w:r>
        <w:t xml:space="preserve">Dat in een zaak als onderhavige openbaarmaking moet worden geweigerd op grond van hogere Europese wetgeving, zelfs indien de </w:t>
      </w:r>
      <w:proofErr w:type="spellStart"/>
      <w:r>
        <w:t>Woo</w:t>
      </w:r>
      <w:proofErr w:type="spellEnd"/>
      <w:r>
        <w:t xml:space="preserve"> daar geen grondslag voor zou vormen, volgt ook uit de recente uitspraak van de rechtbank Den Haag (Rb. Den Haag 19 september 2024, </w:t>
      </w:r>
      <w:r w:rsidRPr="00EC21E6">
        <w:t>ECLI:</w:t>
      </w:r>
      <w:proofErr w:type="gramStart"/>
      <w:r w:rsidRPr="00EC21E6">
        <w:t>NL:RBDHA</w:t>
      </w:r>
      <w:proofErr w:type="gramEnd"/>
      <w:r w:rsidRPr="00EC21E6">
        <w:t>:2024:14897</w:t>
      </w:r>
      <w:r>
        <w:t xml:space="preserve">). In deze uitspraak oordeelt de rechter dat toetsing aan artikel 5.1, zevende lid, van de </w:t>
      </w:r>
      <w:proofErr w:type="spellStart"/>
      <w:r>
        <w:t>Woo</w:t>
      </w:r>
      <w:proofErr w:type="spellEnd"/>
      <w:r>
        <w:t xml:space="preserve">, achterwege moet blijven </w:t>
      </w:r>
      <w:proofErr w:type="gramStart"/>
      <w:r>
        <w:t>indien</w:t>
      </w:r>
      <w:proofErr w:type="gramEnd"/>
      <w:r>
        <w:t xml:space="preserve"> de openbaarmaking van gegevens </w:t>
      </w:r>
      <w:proofErr w:type="gramStart"/>
      <w:r>
        <w:t>reeds</w:t>
      </w:r>
      <w:proofErr w:type="gramEnd"/>
      <w:r>
        <w:t xml:space="preserve"> op basis van hoger Europees recht achterwege moet blijven. Ook in dat geval ging het om het risico van intimidatie door dierenrechtenactivisten. </w:t>
      </w:r>
    </w:p>
    <w:p w14:paraId="4A714900" w14:textId="77777777" w:rsidR="00D9720D" w:rsidRPr="008742F1" w:rsidRDefault="00D9720D" w:rsidP="00C8731B">
      <w:pPr>
        <w:pStyle w:val="Lijstalinea"/>
        <w:ind w:left="709"/>
        <w:jc w:val="both"/>
        <w:rPr>
          <w:b/>
          <w:bCs/>
        </w:rPr>
      </w:pPr>
    </w:p>
    <w:p w14:paraId="770A5026" w14:textId="4946D050" w:rsidR="00D9720D" w:rsidRPr="006A57E3" w:rsidRDefault="00D9720D" w:rsidP="00C8731B">
      <w:pPr>
        <w:pStyle w:val="Lijstalinea"/>
        <w:numPr>
          <w:ilvl w:val="2"/>
          <w:numId w:val="1"/>
        </w:numPr>
        <w:spacing w:after="0" w:line="240" w:lineRule="auto"/>
        <w:ind w:left="709"/>
        <w:jc w:val="both"/>
        <w:rPr>
          <w:b/>
          <w:bCs/>
        </w:rPr>
      </w:pPr>
      <w:r>
        <w:t xml:space="preserve">Gelet op het voorgaande heeft </w:t>
      </w:r>
      <w:r w:rsidR="00A021F2">
        <w:t>u</w:t>
      </w:r>
      <w:r>
        <w:t xml:space="preserve"> ten onrechte de openbaarmaking van de persoonsgegevens niet geweigerd op grond van: </w:t>
      </w:r>
    </w:p>
    <w:p w14:paraId="61B1C920" w14:textId="77777777" w:rsidR="00D9720D" w:rsidRPr="006A57E3" w:rsidRDefault="00D9720D" w:rsidP="00C8731B">
      <w:pPr>
        <w:pStyle w:val="Lijstalinea"/>
        <w:spacing w:after="0" w:line="240" w:lineRule="auto"/>
        <w:ind w:left="709"/>
        <w:jc w:val="both"/>
        <w:rPr>
          <w:b/>
          <w:bCs/>
        </w:rPr>
      </w:pPr>
      <w:r w:rsidRPr="006A57E3">
        <w:rPr>
          <w:b/>
          <w:bCs/>
        </w:rPr>
        <w:t xml:space="preserve">- </w:t>
      </w:r>
      <w:r>
        <w:t xml:space="preserve">artikel 6, van </w:t>
      </w:r>
      <w:bookmarkStart w:id="8" w:name="_Hlk187593446"/>
      <w:r w:rsidRPr="00BF5224">
        <w:t>V</w:t>
      </w:r>
      <w:r>
        <w:t>o.</w:t>
      </w:r>
      <w:r w:rsidRPr="00BF5224">
        <w:t xml:space="preserve"> (EU) 2016/679</w:t>
      </w:r>
      <w:bookmarkEnd w:id="8"/>
      <w:r>
        <w:t>;</w:t>
      </w:r>
    </w:p>
    <w:p w14:paraId="7C7DAC42" w14:textId="77777777" w:rsidR="00D9720D" w:rsidRDefault="00D9720D" w:rsidP="00C8731B">
      <w:pPr>
        <w:pStyle w:val="Lijstalinea"/>
        <w:spacing w:after="0" w:line="240" w:lineRule="auto"/>
        <w:ind w:left="709"/>
        <w:jc w:val="both"/>
      </w:pPr>
      <w:r>
        <w:t xml:space="preserve">- artikel 5.1, tweede lid, onderdeel e, van de </w:t>
      </w:r>
      <w:proofErr w:type="spellStart"/>
      <w:r>
        <w:t>Woo</w:t>
      </w:r>
      <w:proofErr w:type="spellEnd"/>
      <w:r>
        <w:t>;</w:t>
      </w:r>
      <w:r w:rsidRPr="00B43C40">
        <w:t xml:space="preserve"> </w:t>
      </w:r>
    </w:p>
    <w:p w14:paraId="7C4665CC" w14:textId="77777777" w:rsidR="00D9720D" w:rsidRDefault="00D9720D" w:rsidP="00C8731B">
      <w:pPr>
        <w:pStyle w:val="Lijstalinea"/>
        <w:spacing w:after="0" w:line="240" w:lineRule="auto"/>
        <w:ind w:left="709"/>
        <w:jc w:val="both"/>
      </w:pPr>
      <w:r>
        <w:t xml:space="preserve">- artikel 5.1, tweede lid, onderdeel h, van de </w:t>
      </w:r>
      <w:proofErr w:type="spellStart"/>
      <w:r>
        <w:t>Woo</w:t>
      </w:r>
      <w:proofErr w:type="spellEnd"/>
      <w:r>
        <w:t xml:space="preserve">; en </w:t>
      </w:r>
    </w:p>
    <w:p w14:paraId="33BC2CD6" w14:textId="77777777" w:rsidR="00D9720D" w:rsidRDefault="00D9720D" w:rsidP="00C8731B">
      <w:pPr>
        <w:pStyle w:val="Lijstalinea"/>
        <w:spacing w:after="0" w:line="240" w:lineRule="auto"/>
        <w:ind w:left="709"/>
        <w:jc w:val="both"/>
      </w:pPr>
      <w:r>
        <w:lastRenderedPageBreak/>
        <w:t xml:space="preserve">- artikel 5.1, vijfde lid, van de </w:t>
      </w:r>
      <w:proofErr w:type="spellStart"/>
      <w:r>
        <w:t>Woo</w:t>
      </w:r>
      <w:proofErr w:type="spellEnd"/>
      <w:r>
        <w:t xml:space="preserve">. </w:t>
      </w:r>
    </w:p>
    <w:p w14:paraId="5510CC9B" w14:textId="77777777" w:rsidR="00D9720D" w:rsidRDefault="00D9720D" w:rsidP="00D9720D">
      <w:pPr>
        <w:pStyle w:val="Lijstalinea"/>
        <w:spacing w:after="0" w:line="240" w:lineRule="auto"/>
        <w:ind w:left="709"/>
        <w:jc w:val="both"/>
      </w:pPr>
    </w:p>
    <w:p w14:paraId="6C606614" w14:textId="77777777" w:rsidR="00D676FD" w:rsidRDefault="00D676FD" w:rsidP="005B0C1A">
      <w:pPr>
        <w:pStyle w:val="Lijstalinea"/>
        <w:numPr>
          <w:ilvl w:val="0"/>
          <w:numId w:val="1"/>
        </w:numPr>
        <w:spacing w:after="0" w:line="240" w:lineRule="auto"/>
        <w:ind w:left="709" w:hanging="709"/>
        <w:jc w:val="both"/>
        <w:rPr>
          <w:b/>
          <w:bCs/>
        </w:rPr>
      </w:pPr>
      <w:r>
        <w:rPr>
          <w:b/>
          <w:bCs/>
        </w:rPr>
        <w:t>Conclusie</w:t>
      </w:r>
    </w:p>
    <w:p w14:paraId="4939023A" w14:textId="77777777" w:rsidR="00D676FD" w:rsidRPr="00540918" w:rsidRDefault="00D676FD" w:rsidP="005B0C1A">
      <w:pPr>
        <w:pStyle w:val="Lijstalinea"/>
        <w:spacing w:after="0" w:line="240" w:lineRule="auto"/>
        <w:ind w:left="432"/>
        <w:jc w:val="both"/>
        <w:rPr>
          <w:b/>
          <w:bCs/>
        </w:rPr>
      </w:pPr>
    </w:p>
    <w:p w14:paraId="2B1759BE" w14:textId="6CCA3E01" w:rsidR="00D676FD" w:rsidRPr="00661FD5" w:rsidRDefault="00D676FD" w:rsidP="005B0C1A">
      <w:pPr>
        <w:numPr>
          <w:ilvl w:val="1"/>
          <w:numId w:val="2"/>
        </w:numPr>
        <w:spacing w:after="0" w:line="240" w:lineRule="auto"/>
        <w:jc w:val="both"/>
        <w:rPr>
          <w:b/>
          <w:bCs/>
        </w:rPr>
      </w:pPr>
      <w:r w:rsidRPr="00661FD5">
        <w:t xml:space="preserve">Gelet op het voorgaande verzoek ik </w:t>
      </w:r>
      <w:r w:rsidR="00D9720D">
        <w:t>u om:</w:t>
      </w:r>
    </w:p>
    <w:p w14:paraId="2861B486" w14:textId="3B9D3D26" w:rsidR="00D676FD" w:rsidRPr="00D9720D" w:rsidRDefault="00D9720D" w:rsidP="005B0C1A">
      <w:pPr>
        <w:numPr>
          <w:ilvl w:val="0"/>
          <w:numId w:val="3"/>
        </w:numPr>
        <w:spacing w:after="0" w:line="240" w:lineRule="auto"/>
        <w:jc w:val="both"/>
        <w:rPr>
          <w:b/>
          <w:bCs/>
        </w:rPr>
      </w:pPr>
      <w:r>
        <w:t>Het bezwaar gegrond te verklaren;</w:t>
      </w:r>
    </w:p>
    <w:p w14:paraId="18AE935E" w14:textId="6A86864C" w:rsidR="00D9720D" w:rsidRPr="00D9720D" w:rsidRDefault="00D9720D" w:rsidP="005B0C1A">
      <w:pPr>
        <w:numPr>
          <w:ilvl w:val="0"/>
          <w:numId w:val="3"/>
        </w:numPr>
        <w:spacing w:after="0" w:line="240" w:lineRule="auto"/>
        <w:jc w:val="both"/>
        <w:rPr>
          <w:b/>
          <w:bCs/>
        </w:rPr>
      </w:pPr>
      <w:proofErr w:type="gramStart"/>
      <w:r>
        <w:t>het</w:t>
      </w:r>
      <w:proofErr w:type="gramEnd"/>
      <w:r>
        <w:t xml:space="preserve"> primaire besluit te herroepen;</w:t>
      </w:r>
    </w:p>
    <w:p w14:paraId="47573080" w14:textId="28F83AC4" w:rsidR="00D676FD" w:rsidRDefault="00D9720D" w:rsidP="00061825">
      <w:pPr>
        <w:numPr>
          <w:ilvl w:val="0"/>
          <w:numId w:val="3"/>
        </w:numPr>
        <w:spacing w:after="0" w:line="240" w:lineRule="auto"/>
        <w:jc w:val="both"/>
        <w:rPr>
          <w:b/>
          <w:bCs/>
        </w:rPr>
      </w:pPr>
      <w:proofErr w:type="gramStart"/>
      <w:r>
        <w:t>een</w:t>
      </w:r>
      <w:proofErr w:type="gramEnd"/>
      <w:r>
        <w:t xml:space="preserve"> nieuw besluit te nemen met toepassing van de in dit bezwaarschrift besproken uitzonderingsgronden</w:t>
      </w:r>
      <w:r w:rsidR="00061825">
        <w:t>.</w:t>
      </w:r>
    </w:p>
    <w:p w14:paraId="2F7AB017" w14:textId="77777777" w:rsidR="00003CD5" w:rsidRDefault="00003CD5" w:rsidP="005B0C1A">
      <w:pPr>
        <w:spacing w:after="0" w:line="240" w:lineRule="auto"/>
        <w:ind w:left="709" w:hanging="709"/>
        <w:jc w:val="both"/>
      </w:pPr>
    </w:p>
    <w:p w14:paraId="03EB7A1A" w14:textId="77777777" w:rsidR="00003CD5" w:rsidRDefault="00003CD5" w:rsidP="005B0C1A">
      <w:pPr>
        <w:spacing w:after="0" w:line="240" w:lineRule="auto"/>
        <w:ind w:left="709" w:hanging="709"/>
        <w:jc w:val="both"/>
      </w:pPr>
    </w:p>
    <w:p w14:paraId="76EC84B3" w14:textId="10C22AAA" w:rsidR="00D676FD" w:rsidRDefault="00D676FD" w:rsidP="005B0C1A">
      <w:pPr>
        <w:spacing w:after="0" w:line="240" w:lineRule="auto"/>
        <w:ind w:left="709" w:hanging="709"/>
        <w:jc w:val="both"/>
      </w:pPr>
      <w:r>
        <w:t>Met vriendelijke groeten,</w:t>
      </w:r>
    </w:p>
    <w:p w14:paraId="6AABBDF0" w14:textId="77777777" w:rsidR="00D676FD" w:rsidRDefault="00D676FD" w:rsidP="005B0C1A">
      <w:pPr>
        <w:spacing w:after="0" w:line="240" w:lineRule="auto"/>
        <w:jc w:val="both"/>
      </w:pPr>
    </w:p>
    <w:p w14:paraId="59A28437" w14:textId="77777777" w:rsidR="00D676FD" w:rsidRDefault="00D676FD" w:rsidP="005B0C1A">
      <w:pPr>
        <w:spacing w:after="0" w:line="240" w:lineRule="auto"/>
        <w:jc w:val="both"/>
      </w:pPr>
    </w:p>
    <w:p w14:paraId="4AB71EA0" w14:textId="77777777" w:rsidR="00D676FD" w:rsidRDefault="00D676FD" w:rsidP="005B0C1A">
      <w:pPr>
        <w:spacing w:after="0" w:line="240" w:lineRule="auto"/>
        <w:jc w:val="both"/>
      </w:pPr>
    </w:p>
    <w:p w14:paraId="6E1EC87F" w14:textId="77777777" w:rsidR="00D676FD" w:rsidRDefault="00D676FD" w:rsidP="005B0C1A">
      <w:pPr>
        <w:spacing w:after="0" w:line="240" w:lineRule="auto"/>
        <w:jc w:val="both"/>
      </w:pPr>
    </w:p>
    <w:p w14:paraId="2DFEB151" w14:textId="64AF192A" w:rsidR="00D676FD" w:rsidRDefault="00D82E5B" w:rsidP="005B0C1A">
      <w:pPr>
        <w:spacing w:after="0" w:line="240" w:lineRule="auto"/>
        <w:jc w:val="both"/>
      </w:pPr>
      <w:r w:rsidRPr="00D82E5B">
        <w:rPr>
          <w:highlight w:val="yellow"/>
        </w:rPr>
        <w:t>[</w:t>
      </w:r>
      <w:proofErr w:type="gramStart"/>
      <w:r w:rsidRPr="00D82E5B">
        <w:rPr>
          <w:highlight w:val="yellow"/>
        </w:rPr>
        <w:t>naam</w:t>
      </w:r>
      <w:proofErr w:type="gramEnd"/>
      <w:r w:rsidRPr="00D82E5B">
        <w:rPr>
          <w:highlight w:val="yellow"/>
        </w:rPr>
        <w:t>]</w:t>
      </w:r>
    </w:p>
    <w:p w14:paraId="0E555A69" w14:textId="77777777" w:rsidR="001416AE" w:rsidRDefault="001416AE" w:rsidP="005B0C1A">
      <w:pPr>
        <w:jc w:val="both"/>
      </w:pPr>
    </w:p>
    <w:p w14:paraId="7B7A1CAC" w14:textId="77777777" w:rsidR="001416AE" w:rsidRDefault="001416AE" w:rsidP="005B0C1A">
      <w:pPr>
        <w:jc w:val="both"/>
      </w:pPr>
    </w:p>
    <w:p w14:paraId="16AAEAF9" w14:textId="77777777" w:rsidR="001416AE" w:rsidRDefault="001416AE" w:rsidP="005B0C1A">
      <w:pPr>
        <w:jc w:val="both"/>
      </w:pPr>
    </w:p>
    <w:p w14:paraId="360508EE" w14:textId="77777777" w:rsidR="001416AE" w:rsidRDefault="001416AE" w:rsidP="005B0C1A">
      <w:pPr>
        <w:jc w:val="both"/>
      </w:pPr>
    </w:p>
    <w:p w14:paraId="7A346E52" w14:textId="77777777" w:rsidR="001416AE" w:rsidRDefault="001416AE" w:rsidP="005B0C1A">
      <w:pPr>
        <w:jc w:val="both"/>
      </w:pPr>
    </w:p>
    <w:p w14:paraId="48793427" w14:textId="77777777" w:rsidR="001416AE" w:rsidRDefault="001416AE" w:rsidP="005B0C1A">
      <w:pPr>
        <w:jc w:val="both"/>
      </w:pPr>
    </w:p>
    <w:p w14:paraId="6CD29974" w14:textId="77777777" w:rsidR="001416AE" w:rsidRDefault="001416AE" w:rsidP="005B0C1A">
      <w:pPr>
        <w:jc w:val="both"/>
      </w:pPr>
    </w:p>
    <w:sectPr w:rsidR="001416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4BC1" w14:textId="77777777" w:rsidR="003D7F78" w:rsidRDefault="003D7F78" w:rsidP="00D676FD">
      <w:pPr>
        <w:spacing w:after="0" w:line="240" w:lineRule="auto"/>
      </w:pPr>
      <w:r>
        <w:separator/>
      </w:r>
    </w:p>
  </w:endnote>
  <w:endnote w:type="continuationSeparator" w:id="0">
    <w:p w14:paraId="728E02BE" w14:textId="77777777" w:rsidR="003D7F78" w:rsidRDefault="003D7F78" w:rsidP="00D6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landersArtSans-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4B5C" w14:textId="77777777" w:rsidR="003D7F78" w:rsidRDefault="003D7F78" w:rsidP="00D676FD">
      <w:pPr>
        <w:spacing w:after="0" w:line="240" w:lineRule="auto"/>
      </w:pPr>
      <w:r>
        <w:separator/>
      </w:r>
    </w:p>
  </w:footnote>
  <w:footnote w:type="continuationSeparator" w:id="0">
    <w:p w14:paraId="0CFCB6FB" w14:textId="77777777" w:rsidR="003D7F78" w:rsidRDefault="003D7F78" w:rsidP="00D676FD">
      <w:pPr>
        <w:spacing w:after="0" w:line="240" w:lineRule="auto"/>
      </w:pPr>
      <w:r>
        <w:continuationSeparator/>
      </w:r>
    </w:p>
  </w:footnote>
  <w:footnote w:id="1">
    <w:p w14:paraId="37BAC1B5" w14:textId="2F6D5E6B" w:rsidR="00071FB5" w:rsidRDefault="00071FB5">
      <w:pPr>
        <w:pStyle w:val="Voetnoottekst"/>
      </w:pPr>
      <w:r>
        <w:rPr>
          <w:rStyle w:val="Voetnootmarkering"/>
        </w:rPr>
        <w:footnoteRef/>
      </w:r>
      <w:r>
        <w:t xml:space="preserve"> </w:t>
      </w:r>
      <w:hyperlink r:id="rId1" w:history="1">
        <w:r w:rsidR="00603B15" w:rsidRPr="002D36A0">
          <w:rPr>
            <w:rStyle w:val="Hyperlink"/>
          </w:rPr>
          <w:t>https://rvs.rivm.nl/sites/default/files/2018-05/Richtsnoer%20E-PRTR.pdf</w:t>
        </w:r>
      </w:hyperlink>
      <w:r w:rsidR="00603B15">
        <w:t xml:space="preserve"> </w:t>
      </w:r>
    </w:p>
  </w:footnote>
  <w:footnote w:id="2">
    <w:p w14:paraId="430D2D31" w14:textId="77777777" w:rsidR="00D9720D" w:rsidRDefault="00D9720D" w:rsidP="00D9720D">
      <w:pPr>
        <w:pStyle w:val="Voetnoottekst"/>
      </w:pPr>
      <w:r>
        <w:rPr>
          <w:rStyle w:val="Voetnootmarkering"/>
        </w:rPr>
        <w:footnoteRef/>
      </w:r>
      <w:r>
        <w:t xml:space="preserve"> Aanhangsel Handelingen II 2024/25, nr. 1671: </w:t>
      </w:r>
      <w:hyperlink r:id="rId2" w:history="1">
        <w:r w:rsidRPr="00E57315">
          <w:rPr>
            <w:rStyle w:val="Hyperlink"/>
          </w:rPr>
          <w:t>https://www.tweedekamer.nl/kamerstukken/kamervragen/detail?id=2025Z03481&amp;did=2025D11610</w:t>
        </w:r>
      </w:hyperlink>
      <w:r>
        <w:t xml:space="preserve"> </w:t>
      </w:r>
    </w:p>
  </w:footnote>
  <w:footnote w:id="3">
    <w:p w14:paraId="6B8B7B34" w14:textId="77777777" w:rsidR="00D9720D" w:rsidRDefault="00D9720D" w:rsidP="00D9720D">
      <w:pPr>
        <w:pStyle w:val="Voetnoottekst"/>
      </w:pPr>
      <w:r w:rsidRPr="31E2D801">
        <w:rPr>
          <w:rStyle w:val="Voetnootmarkering"/>
        </w:rPr>
        <w:footnoteRef/>
      </w:r>
      <w:r>
        <w:t xml:space="preserve"> https://autoriteitpersoonsgegevens.nl/sites/default/files/atoms/files/brf.-kvk-20dec18-handelsregisterinfoproducten.pdf</w:t>
      </w:r>
    </w:p>
  </w:footnote>
  <w:footnote w:id="4">
    <w:p w14:paraId="610261E4" w14:textId="77777777" w:rsidR="00D9720D" w:rsidRDefault="00D9720D" w:rsidP="00D9720D">
      <w:pPr>
        <w:pStyle w:val="Voetnoottekst"/>
      </w:pPr>
      <w:r w:rsidRPr="31E2D801">
        <w:rPr>
          <w:rStyle w:val="Voetnootmarkering"/>
        </w:rPr>
        <w:footnoteRef/>
      </w:r>
      <w:r>
        <w:t xml:space="preserve"> </w:t>
      </w:r>
      <w:hyperlink r:id="rId3">
        <w:r w:rsidRPr="31E2D801">
          <w:rPr>
            <w:rStyle w:val="Hyperlink"/>
          </w:rPr>
          <w:t>https://www.autoriteitpersoonsgegevens.nl/sites/default/files/downloads/rs/rs_20090813_actieve_openbaarmaking.pdf</w:t>
        </w:r>
      </w:hyperlink>
    </w:p>
  </w:footnote>
  <w:footnote w:id="5">
    <w:p w14:paraId="3372462A" w14:textId="77777777" w:rsidR="00D9720D" w:rsidRPr="000142B5" w:rsidRDefault="00D9720D" w:rsidP="00D9720D">
      <w:pPr>
        <w:pStyle w:val="Voetnoottekst"/>
      </w:pPr>
      <w:r w:rsidRPr="31E2D801">
        <w:rPr>
          <w:rStyle w:val="Voetnootmarkering"/>
        </w:rPr>
        <w:footnoteRef/>
      </w:r>
      <w:r w:rsidRPr="000142B5">
        <w:t xml:space="preserve"> </w:t>
      </w:r>
      <w:hyperlink r:id="rId4">
        <w:r w:rsidRPr="000142B5">
          <w:rPr>
            <w:rStyle w:val="Hyperlink"/>
          </w:rPr>
          <w:t>https://www.nctv.nl/onderwerpen/dtn/documenten/publicaties/2022/04/21/infographic-dreigingsbeeld-terrorisme-nederland-56</w:t>
        </w:r>
      </w:hyperlink>
      <w:r w:rsidRPr="000142B5">
        <w:t>; in het</w:t>
      </w:r>
      <w:r>
        <w:t xml:space="preserve"> maat</w:t>
      </w:r>
    </w:p>
  </w:footnote>
  <w:footnote w:id="6">
    <w:p w14:paraId="1EEEAE37" w14:textId="77777777" w:rsidR="002775FC" w:rsidRDefault="002775FC" w:rsidP="002775FC">
      <w:pPr>
        <w:pStyle w:val="Voetnoottekst"/>
      </w:pPr>
      <w:r>
        <w:rPr>
          <w:rStyle w:val="Voetnootmarkering"/>
        </w:rPr>
        <w:footnoteRef/>
      </w:r>
      <w:r>
        <w:t xml:space="preserve"> </w:t>
      </w:r>
      <w:hyperlink r:id="rId5" w:history="1">
        <w:r>
          <w:rPr>
            <w:rStyle w:val="Hyperlink"/>
          </w:rPr>
          <w:t>https://www.noordhollandsdagblad.nl/regio/west-friesland/activisten-dreigen-met-nieuwe-branden-bij-kippenslachterijen/72082940.html</w:t>
        </w:r>
      </w:hyperlink>
      <w:r>
        <w:t xml:space="preserve"> </w:t>
      </w:r>
    </w:p>
  </w:footnote>
  <w:footnote w:id="7">
    <w:p w14:paraId="459E36BE" w14:textId="77777777" w:rsidR="002775FC" w:rsidRDefault="002775FC" w:rsidP="002775FC">
      <w:pPr>
        <w:pStyle w:val="Voetnoottekst"/>
      </w:pPr>
      <w:r>
        <w:rPr>
          <w:rStyle w:val="Voetnootmarkering"/>
        </w:rPr>
        <w:footnoteRef/>
      </w:r>
      <w:r>
        <w:t xml:space="preserve"> </w:t>
      </w:r>
      <w:hyperlink r:id="rId6" w:history="1">
        <w:r>
          <w:rPr>
            <w:rStyle w:val="Hyperlink"/>
          </w:rPr>
          <w:t>https://www.trouw.nl/binnenland/gedeputeerde-harold-zoet-kreeg-bezoek-van-activisten-pap-steken-ze-nu-ook-onze-stal-in-de-fik~b142bb0c/</w:t>
        </w:r>
      </w:hyperlink>
      <w:r>
        <w:t xml:space="preserve"> </w:t>
      </w:r>
    </w:p>
  </w:footnote>
  <w:footnote w:id="8">
    <w:p w14:paraId="61A6EACB" w14:textId="77777777" w:rsidR="002775FC" w:rsidRDefault="002775FC" w:rsidP="002775FC">
      <w:pPr>
        <w:pStyle w:val="Voetnoottekst"/>
      </w:pPr>
      <w:r>
        <w:rPr>
          <w:rStyle w:val="Voetnootmarkering"/>
        </w:rPr>
        <w:footnoteRef/>
      </w:r>
      <w:r>
        <w:t xml:space="preserve"> </w:t>
      </w:r>
      <w:hyperlink r:id="rId7" w:history="1">
        <w:r>
          <w:rPr>
            <w:rStyle w:val="Hyperlink"/>
          </w:rPr>
          <w:t>https://nos.nl/artikel/2573988-dierenactivisten-bezetten-drie-apeldoornse-slachthuizen</w:t>
        </w:r>
      </w:hyperlink>
      <w:r>
        <w:t xml:space="preserve"> </w:t>
      </w:r>
    </w:p>
  </w:footnote>
  <w:footnote w:id="9">
    <w:p w14:paraId="5B8A4A6E" w14:textId="77777777" w:rsidR="002775FC" w:rsidRPr="00565D5C" w:rsidRDefault="002775FC" w:rsidP="002775FC">
      <w:pPr>
        <w:pStyle w:val="Voetnoottekst"/>
      </w:pPr>
      <w:r w:rsidRPr="31E2D801">
        <w:rPr>
          <w:rStyle w:val="Voetnootmarkering"/>
        </w:rPr>
        <w:footnoteRef/>
      </w:r>
      <w:r w:rsidRPr="00565D5C">
        <w:t xml:space="preserve"> </w:t>
      </w:r>
      <w:hyperlink r:id="rId8">
        <w:r w:rsidRPr="00565D5C">
          <w:rPr>
            <w:rStyle w:val="Hyperlink"/>
          </w:rPr>
          <w:t>https://dvhn.nl/extra/Nieuwe-dreigingen-vanuit-extremistische-hoek-dierenactivisten.-LTO-vreest-voor-stalbezettingen-bij-boeren.-Hier-is-sprake-van-ophitsen-27851295.html</w:t>
        </w:r>
      </w:hyperlink>
    </w:p>
  </w:footnote>
  <w:footnote w:id="10">
    <w:p w14:paraId="6356523F" w14:textId="77777777" w:rsidR="002775FC" w:rsidRDefault="002775FC" w:rsidP="002775FC">
      <w:pPr>
        <w:pStyle w:val="Voetnoottekst"/>
      </w:pPr>
      <w:r>
        <w:rPr>
          <w:rStyle w:val="Voetnootmarkering"/>
        </w:rPr>
        <w:footnoteRef/>
      </w:r>
      <w:r>
        <w:t xml:space="preserve"> </w:t>
      </w:r>
      <w:hyperlink r:id="rId9" w:history="1">
        <w:r w:rsidRPr="002A36FF">
          <w:rPr>
            <w:rStyle w:val="Hyperlink"/>
          </w:rPr>
          <w:t>https://nos.nl/artikel/2410804-actiegroep-legt-dode-biggen-en-konijnen-op-straat</w:t>
        </w:r>
      </w:hyperlink>
      <w:r>
        <w:t xml:space="preserve"> </w:t>
      </w:r>
    </w:p>
  </w:footnote>
  <w:footnote w:id="11">
    <w:p w14:paraId="019E377F" w14:textId="77777777" w:rsidR="002775FC" w:rsidRDefault="002775FC" w:rsidP="002775FC">
      <w:pPr>
        <w:pStyle w:val="Voetnoottekst"/>
      </w:pPr>
      <w:r w:rsidRPr="31E2D801">
        <w:rPr>
          <w:rStyle w:val="Voetnootmarkering"/>
        </w:rPr>
        <w:footnoteRef/>
      </w:r>
      <w:r>
        <w:t xml:space="preserve"> </w:t>
      </w:r>
      <w:hyperlink r:id="rId10">
        <w:r w:rsidRPr="31E2D801">
          <w:rPr>
            <w:rStyle w:val="Hyperlink"/>
          </w:rPr>
          <w:t>https://www.hartvannederland.nl/nieuws/dieren/dierenactivisten-leggen-dode-biggen-bij-braziliaanse-ambassade-in-den-haag</w:t>
        </w:r>
      </w:hyperlink>
    </w:p>
  </w:footnote>
  <w:footnote w:id="12">
    <w:p w14:paraId="2DC3B93D" w14:textId="77777777" w:rsidR="002775FC" w:rsidRDefault="002775FC" w:rsidP="002775FC">
      <w:pPr>
        <w:pStyle w:val="Voetnoottekst"/>
      </w:pPr>
      <w:r>
        <w:rPr>
          <w:rStyle w:val="Voetnootmarkering"/>
        </w:rPr>
        <w:footnoteRef/>
      </w:r>
      <w:r>
        <w:t xml:space="preserve"> </w:t>
      </w:r>
      <w:hyperlink r:id="rId11" w:history="1">
        <w:r w:rsidRPr="002A36FF">
          <w:rPr>
            <w:rStyle w:val="Hyperlink"/>
          </w:rPr>
          <w:t>https://www.anarchistischefederatie.nl/vegan-strike-group-bevrijdt-in-koningsweekend-108-legkippen-uit-een-megastal/</w:t>
        </w:r>
      </w:hyperlink>
      <w:r>
        <w:t xml:space="preserve"> </w:t>
      </w:r>
    </w:p>
  </w:footnote>
  <w:footnote w:id="13">
    <w:p w14:paraId="48A6122E" w14:textId="77777777" w:rsidR="002775FC" w:rsidRDefault="002775FC" w:rsidP="002775FC">
      <w:pPr>
        <w:pStyle w:val="Voetnoottekst"/>
      </w:pPr>
      <w:r>
        <w:rPr>
          <w:rStyle w:val="Voetnootmarkering"/>
        </w:rPr>
        <w:footnoteRef/>
      </w:r>
      <w:r>
        <w:t xml:space="preserve"> </w:t>
      </w:r>
      <w:hyperlink r:id="rId12" w:history="1">
        <w:r w:rsidRPr="002A36FF">
          <w:rPr>
            <w:rStyle w:val="Hyperlink"/>
          </w:rPr>
          <w:t>https://www.animalrights.nl/update-konijnenbeelden</w:t>
        </w:r>
      </w:hyperlink>
      <w:r>
        <w:t xml:space="preserve"> </w:t>
      </w:r>
    </w:p>
  </w:footnote>
  <w:footnote w:id="14">
    <w:p w14:paraId="26145CD2" w14:textId="77777777" w:rsidR="002775FC" w:rsidRPr="00E22ED0" w:rsidRDefault="002775FC" w:rsidP="002775FC">
      <w:pPr>
        <w:pStyle w:val="Voetnoottekst"/>
        <w:rPr>
          <w:i/>
          <w:iCs/>
        </w:rPr>
      </w:pPr>
      <w:r>
        <w:rPr>
          <w:rStyle w:val="Voetnootmarkering"/>
        </w:rPr>
        <w:footnoteRef/>
      </w:r>
      <w:r>
        <w:t xml:space="preserve"> </w:t>
      </w:r>
      <w:hyperlink r:id="rId13" w:history="1">
        <w:r>
          <w:rPr>
            <w:rStyle w:val="Hyperlink"/>
          </w:rPr>
          <w:t>Wakker Dier waarschuwt voor hittestress bij kalveren - Vroege Vogels - BNNVARA</w:t>
        </w:r>
      </w:hyperlink>
      <w:r w:rsidRPr="00E22ED0">
        <w:rPr>
          <w:i/>
          <w:iCs/>
        </w:rPr>
        <w:t xml:space="preserve"> “</w:t>
      </w:r>
      <w:r w:rsidRPr="002B6CFE">
        <w:rPr>
          <w:i/>
          <w:iCs/>
        </w:rPr>
        <w:t>De dierenwelzijnsorganisatie heeft bij de zes bedrijven fotografisch bewijs verzameld, maar sluit niet uit dat bij meer veehouders de beschermende maatregelen onvoldoende zijn.</w:t>
      </w:r>
      <w:r w:rsidRPr="00E22ED0">
        <w:rPr>
          <w:i/>
          <w:iCs/>
        </w:rPr>
        <w:t>”</w:t>
      </w:r>
    </w:p>
  </w:footnote>
  <w:footnote w:id="15">
    <w:p w14:paraId="7639A7DF" w14:textId="77777777" w:rsidR="002775FC" w:rsidRDefault="002775FC" w:rsidP="002775FC">
      <w:pPr>
        <w:pStyle w:val="Voetnoottekst"/>
      </w:pPr>
      <w:r>
        <w:rPr>
          <w:rStyle w:val="Voetnootmarkering"/>
        </w:rPr>
        <w:footnoteRef/>
      </w:r>
      <w:r>
        <w:t xml:space="preserve"> </w:t>
      </w:r>
      <w:hyperlink r:id="rId14" w:history="1">
        <w:r w:rsidRPr="002E2A84">
          <w:rPr>
            <w:rStyle w:val="Hyperlink"/>
          </w:rPr>
          <w:t>https://www.animalrights.nl/nieuwe-beelden-eenden-worden-nog-altijd-mishandeld-tijdens-het-vangen-en-laden</w:t>
        </w:r>
      </w:hyperlink>
      <w:r>
        <w:t xml:space="preserve"> </w:t>
      </w:r>
    </w:p>
  </w:footnote>
  <w:footnote w:id="16">
    <w:p w14:paraId="1CEA1013" w14:textId="77777777" w:rsidR="002775FC" w:rsidRDefault="002775FC" w:rsidP="002775FC">
      <w:pPr>
        <w:pStyle w:val="Voetnoottekst"/>
      </w:pPr>
      <w:r>
        <w:rPr>
          <w:rStyle w:val="Voetnootmarkering"/>
        </w:rPr>
        <w:footnoteRef/>
      </w:r>
      <w:r>
        <w:t xml:space="preserve"> </w:t>
      </w:r>
      <w:hyperlink r:id="rId15" w:history="1">
        <w:r w:rsidRPr="00D6598C">
          <w:rPr>
            <w:rStyle w:val="Hyperlink"/>
          </w:rPr>
          <w:t>https://www.animalrights.nl/eendenslachter-tomassen-duck-kiest-ipv-transparantie-voor-maatregelen-tegen-drones</w:t>
        </w:r>
      </w:hyperlink>
      <w:r>
        <w:t xml:space="preserve"> </w:t>
      </w:r>
    </w:p>
  </w:footnote>
  <w:footnote w:id="17">
    <w:p w14:paraId="5A775855" w14:textId="77777777" w:rsidR="002775FC" w:rsidRDefault="002775FC" w:rsidP="002775FC">
      <w:pPr>
        <w:pStyle w:val="Voetnoottekst"/>
      </w:pPr>
      <w:r>
        <w:rPr>
          <w:rStyle w:val="Voetnootmarkering"/>
        </w:rPr>
        <w:footnoteRef/>
      </w:r>
      <w:r>
        <w:t xml:space="preserve"> </w:t>
      </w:r>
      <w:hyperlink r:id="rId16" w:history="1">
        <w:r w:rsidRPr="002E2A84">
          <w:rPr>
            <w:rStyle w:val="Hyperlink"/>
          </w:rPr>
          <w:t>https://www.animalrights.nl/jagers-mishandelen-eend-meer-dan-2-minuten-bij-ransdorp</w:t>
        </w:r>
      </w:hyperlink>
      <w:r>
        <w:t xml:space="preserve"> </w:t>
      </w:r>
    </w:p>
  </w:footnote>
  <w:footnote w:id="18">
    <w:p w14:paraId="2F848DE5" w14:textId="77777777" w:rsidR="002775FC" w:rsidRDefault="002775FC" w:rsidP="002775FC">
      <w:pPr>
        <w:pStyle w:val="Voetnoottekst"/>
      </w:pPr>
      <w:r>
        <w:rPr>
          <w:rStyle w:val="Voetnootmarkering"/>
        </w:rPr>
        <w:footnoteRef/>
      </w:r>
      <w:r>
        <w:t xml:space="preserve"> </w:t>
      </w:r>
      <w:hyperlink r:id="rId17" w:history="1">
        <w:r w:rsidRPr="002E2A84">
          <w:rPr>
            <w:rStyle w:val="Hyperlink"/>
          </w:rPr>
          <w:t>https://www.animalrights.nl/animal-rights-brengt-de-%E2%80%98ruiming%E2%80%99-van-23000-kippen-beeld</w:t>
        </w:r>
      </w:hyperlink>
      <w:r>
        <w:t xml:space="preserve"> </w:t>
      </w:r>
    </w:p>
  </w:footnote>
  <w:footnote w:id="19">
    <w:p w14:paraId="0B445BF1" w14:textId="77777777" w:rsidR="002775FC" w:rsidRDefault="002775FC" w:rsidP="002775FC">
      <w:pPr>
        <w:pStyle w:val="Voetnoottekst"/>
      </w:pPr>
      <w:r>
        <w:rPr>
          <w:rStyle w:val="Voetnootmarkering"/>
        </w:rPr>
        <w:footnoteRef/>
      </w:r>
      <w:r>
        <w:t xml:space="preserve"> </w:t>
      </w:r>
      <w:hyperlink r:id="rId18" w:history="1">
        <w:r w:rsidRPr="002E2A84">
          <w:rPr>
            <w:rStyle w:val="Hyperlink"/>
          </w:rPr>
          <w:t>https://www.animalrights.nl/kadaverboer-uit-speulde-had-de-verste-verte-geen-wolfwerend-raster</w:t>
        </w:r>
      </w:hyperlink>
      <w:r>
        <w:t xml:space="preserve"> </w:t>
      </w:r>
    </w:p>
  </w:footnote>
  <w:footnote w:id="20">
    <w:p w14:paraId="5887E68B" w14:textId="77777777" w:rsidR="002775FC" w:rsidRDefault="002775FC" w:rsidP="002775FC">
      <w:pPr>
        <w:pStyle w:val="Voetnoottekst"/>
      </w:pPr>
      <w:r>
        <w:rPr>
          <w:rStyle w:val="Voetnootmarkering"/>
        </w:rPr>
        <w:footnoteRef/>
      </w:r>
      <w:r>
        <w:t xml:space="preserve"> </w:t>
      </w:r>
      <w:hyperlink r:id="rId19" w:history="1">
        <w:r w:rsidRPr="00E57315">
          <w:rPr>
            <w:rStyle w:val="Hyperlink"/>
          </w:rPr>
          <w:t>https://www.animalrights.nl/nederlandse-premiere-food-profit-documentaire-vergezeld-van-undercoverbeelden-uit-bbb-varkenstal</w:t>
        </w:r>
      </w:hyperlink>
      <w:r>
        <w:t xml:space="preserve"> </w:t>
      </w:r>
    </w:p>
  </w:footnote>
  <w:footnote w:id="21">
    <w:p w14:paraId="18F1CCC0" w14:textId="77777777" w:rsidR="00D9720D" w:rsidRDefault="00D9720D" w:rsidP="00D9720D">
      <w:pPr>
        <w:pStyle w:val="Voetnoottekst"/>
      </w:pPr>
      <w:r>
        <w:rPr>
          <w:rStyle w:val="Voetnootmarkering"/>
        </w:rPr>
        <w:footnoteRef/>
      </w:r>
      <w:r>
        <w:t xml:space="preserve"> </w:t>
      </w:r>
      <w:hyperlink r:id="rId20" w:history="1">
        <w:r w:rsidRPr="00E57315">
          <w:rPr>
            <w:rStyle w:val="Hyperlink"/>
          </w:rPr>
          <w:t>https://www.animalrights.nl/nvwa-houdt-dierenbeulen-van-veehandel-dane-en-zoon-de-hand-boven-het-hoofd</w:t>
        </w:r>
      </w:hyperlink>
      <w:r>
        <w:t xml:space="preserve"> </w:t>
      </w:r>
    </w:p>
  </w:footnote>
  <w:footnote w:id="22">
    <w:p w14:paraId="0F48A7A9" w14:textId="77777777" w:rsidR="00D9720D" w:rsidRDefault="00D9720D" w:rsidP="00D9720D">
      <w:pPr>
        <w:pStyle w:val="Voetnoottekst"/>
      </w:pPr>
      <w:r>
        <w:rPr>
          <w:rStyle w:val="Voetnootmarkering"/>
        </w:rPr>
        <w:footnoteRef/>
      </w:r>
      <w:r>
        <w:t xml:space="preserve"> </w:t>
      </w:r>
      <w:hyperlink r:id="rId21" w:history="1">
        <w:r w:rsidRPr="002E2A84">
          <w:rPr>
            <w:rStyle w:val="Hyperlink"/>
          </w:rPr>
          <w:t>https://www.lto.nl/woo-leidt-tot-toename-van-intimidatie-en-bedreiging/</w:t>
        </w:r>
      </w:hyperlink>
      <w:r>
        <w:t xml:space="preserve"> </w:t>
      </w:r>
    </w:p>
  </w:footnote>
  <w:footnote w:id="23">
    <w:p w14:paraId="7154C3ED" w14:textId="77777777" w:rsidR="00D9720D" w:rsidRDefault="00D9720D" w:rsidP="00D9720D">
      <w:pPr>
        <w:pStyle w:val="Voetnoottekst"/>
      </w:pPr>
      <w:r>
        <w:rPr>
          <w:rStyle w:val="Voetnootmarkering"/>
        </w:rPr>
        <w:footnoteRef/>
      </w:r>
      <w:r>
        <w:t xml:space="preserve"> </w:t>
      </w:r>
      <w:hyperlink r:id="rId22" w:history="1">
        <w:r>
          <w:rPr>
            <w:rStyle w:val="Hyperlink"/>
          </w:rPr>
          <w:t>https://www.tweedekamer.nl/kamerstukken/plenaire_verslagen/detail/2024-2025/102</w:t>
        </w:r>
      </w:hyperlink>
      <w:r>
        <w:t xml:space="preserve"> </w:t>
      </w:r>
    </w:p>
  </w:footnote>
  <w:footnote w:id="24">
    <w:p w14:paraId="46E4A0D7" w14:textId="303F1361" w:rsidR="00A021F2" w:rsidRDefault="00A021F2">
      <w:pPr>
        <w:pStyle w:val="Voetnoottekst"/>
      </w:pPr>
      <w:r>
        <w:rPr>
          <w:rStyle w:val="Voetnootmarkering"/>
        </w:rPr>
        <w:footnoteRef/>
      </w:r>
      <w:r>
        <w:t xml:space="preserve">  </w:t>
      </w:r>
      <w:hyperlink r:id="rId23" w:history="1">
        <w:r w:rsidRPr="005B6B86">
          <w:rPr>
            <w:rStyle w:val="Hyperlink"/>
          </w:rPr>
          <w:t>https://www.tweedekamer.nl/kamerstukken/plenaire_verslagen/detail/2024-2025/109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A7E5F"/>
    <w:multiLevelType w:val="hybridMultilevel"/>
    <w:tmpl w:val="27C04094"/>
    <w:lvl w:ilvl="0" w:tplc="593226C8">
      <w:start w:val="93"/>
      <w:numFmt w:val="bullet"/>
      <w:lvlText w:val="-"/>
      <w:lvlJc w:val="left"/>
      <w:pPr>
        <w:ind w:left="864" w:hanging="360"/>
      </w:pPr>
      <w:rPr>
        <w:rFonts w:ascii="Calibri" w:eastAsiaTheme="minorHAnsi" w:hAnsi="Calibri" w:cs="Calibri" w:hint="default"/>
        <w:b w:val="0"/>
      </w:rPr>
    </w:lvl>
    <w:lvl w:ilvl="1" w:tplc="04130003" w:tentative="1">
      <w:start w:val="1"/>
      <w:numFmt w:val="bullet"/>
      <w:lvlText w:val="o"/>
      <w:lvlJc w:val="left"/>
      <w:pPr>
        <w:ind w:left="1584" w:hanging="360"/>
      </w:pPr>
      <w:rPr>
        <w:rFonts w:ascii="Courier New" w:hAnsi="Courier New" w:cs="Courier New" w:hint="default"/>
      </w:rPr>
    </w:lvl>
    <w:lvl w:ilvl="2" w:tplc="04130005" w:tentative="1">
      <w:start w:val="1"/>
      <w:numFmt w:val="bullet"/>
      <w:lvlText w:val=""/>
      <w:lvlJc w:val="left"/>
      <w:pPr>
        <w:ind w:left="2304" w:hanging="360"/>
      </w:pPr>
      <w:rPr>
        <w:rFonts w:ascii="Wingdings" w:hAnsi="Wingdings" w:hint="default"/>
      </w:rPr>
    </w:lvl>
    <w:lvl w:ilvl="3" w:tplc="04130001" w:tentative="1">
      <w:start w:val="1"/>
      <w:numFmt w:val="bullet"/>
      <w:lvlText w:val=""/>
      <w:lvlJc w:val="left"/>
      <w:pPr>
        <w:ind w:left="3024" w:hanging="360"/>
      </w:pPr>
      <w:rPr>
        <w:rFonts w:ascii="Symbol" w:hAnsi="Symbol" w:hint="default"/>
      </w:rPr>
    </w:lvl>
    <w:lvl w:ilvl="4" w:tplc="04130003" w:tentative="1">
      <w:start w:val="1"/>
      <w:numFmt w:val="bullet"/>
      <w:lvlText w:val="o"/>
      <w:lvlJc w:val="left"/>
      <w:pPr>
        <w:ind w:left="3744" w:hanging="360"/>
      </w:pPr>
      <w:rPr>
        <w:rFonts w:ascii="Courier New" w:hAnsi="Courier New" w:cs="Courier New" w:hint="default"/>
      </w:rPr>
    </w:lvl>
    <w:lvl w:ilvl="5" w:tplc="04130005" w:tentative="1">
      <w:start w:val="1"/>
      <w:numFmt w:val="bullet"/>
      <w:lvlText w:val=""/>
      <w:lvlJc w:val="left"/>
      <w:pPr>
        <w:ind w:left="4464" w:hanging="360"/>
      </w:pPr>
      <w:rPr>
        <w:rFonts w:ascii="Wingdings" w:hAnsi="Wingdings" w:hint="default"/>
      </w:rPr>
    </w:lvl>
    <w:lvl w:ilvl="6" w:tplc="04130001" w:tentative="1">
      <w:start w:val="1"/>
      <w:numFmt w:val="bullet"/>
      <w:lvlText w:val=""/>
      <w:lvlJc w:val="left"/>
      <w:pPr>
        <w:ind w:left="5184" w:hanging="360"/>
      </w:pPr>
      <w:rPr>
        <w:rFonts w:ascii="Symbol" w:hAnsi="Symbol" w:hint="default"/>
      </w:rPr>
    </w:lvl>
    <w:lvl w:ilvl="7" w:tplc="04130003" w:tentative="1">
      <w:start w:val="1"/>
      <w:numFmt w:val="bullet"/>
      <w:lvlText w:val="o"/>
      <w:lvlJc w:val="left"/>
      <w:pPr>
        <w:ind w:left="5904" w:hanging="360"/>
      </w:pPr>
      <w:rPr>
        <w:rFonts w:ascii="Courier New" w:hAnsi="Courier New" w:cs="Courier New" w:hint="default"/>
      </w:rPr>
    </w:lvl>
    <w:lvl w:ilvl="8" w:tplc="04130005" w:tentative="1">
      <w:start w:val="1"/>
      <w:numFmt w:val="bullet"/>
      <w:lvlText w:val=""/>
      <w:lvlJc w:val="left"/>
      <w:pPr>
        <w:ind w:left="6624" w:hanging="360"/>
      </w:pPr>
      <w:rPr>
        <w:rFonts w:ascii="Wingdings" w:hAnsi="Wingdings" w:hint="default"/>
      </w:rPr>
    </w:lvl>
  </w:abstractNum>
  <w:abstractNum w:abstractNumId="1" w15:restartNumberingAfterBreak="0">
    <w:nsid w:val="5A4A0311"/>
    <w:multiLevelType w:val="multilevel"/>
    <w:tmpl w:val="F7AC0AB2"/>
    <w:lvl w:ilvl="0">
      <w:start w:val="1"/>
      <w:numFmt w:val="decimal"/>
      <w:lvlText w:val="%1."/>
      <w:lvlJc w:val="left"/>
      <w:pPr>
        <w:ind w:left="360" w:hanging="360"/>
      </w:pPr>
      <w:rPr>
        <w:b/>
        <w:bCs/>
      </w:rPr>
    </w:lvl>
    <w:lvl w:ilvl="1">
      <w:start w:val="1"/>
      <w:numFmt w:val="decimal"/>
      <w:lvlText w:val="%1.%2."/>
      <w:lvlJc w:val="left"/>
      <w:pPr>
        <w:ind w:left="432" w:hanging="432"/>
      </w:pPr>
      <w:rPr>
        <w:b/>
        <w:bCs/>
        <w:i w:val="0"/>
      </w:rPr>
    </w:lvl>
    <w:lvl w:ilvl="2">
      <w:start w:val="1"/>
      <w:numFmt w:val="decimal"/>
      <w:lvlText w:val="%1.%2.%3."/>
      <w:lvlJc w:val="left"/>
      <w:pPr>
        <w:ind w:left="504" w:hanging="504"/>
      </w:pPr>
      <w:rPr>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0341635">
    <w:abstractNumId w:val="1"/>
  </w:num>
  <w:num w:numId="2" w16cid:durableId="1107966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03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DF"/>
    <w:rsid w:val="0000202B"/>
    <w:rsid w:val="00003CD5"/>
    <w:rsid w:val="00044B97"/>
    <w:rsid w:val="00055B34"/>
    <w:rsid w:val="000604AB"/>
    <w:rsid w:val="00061825"/>
    <w:rsid w:val="00071FB5"/>
    <w:rsid w:val="00090849"/>
    <w:rsid w:val="00093619"/>
    <w:rsid w:val="000A65DD"/>
    <w:rsid w:val="000B107D"/>
    <w:rsid w:val="000C63F3"/>
    <w:rsid w:val="00120321"/>
    <w:rsid w:val="00133429"/>
    <w:rsid w:val="001416AE"/>
    <w:rsid w:val="001470BA"/>
    <w:rsid w:val="001A4D6A"/>
    <w:rsid w:val="001C5EA3"/>
    <w:rsid w:val="001D3C85"/>
    <w:rsid w:val="002033DF"/>
    <w:rsid w:val="00207155"/>
    <w:rsid w:val="0021309B"/>
    <w:rsid w:val="00235412"/>
    <w:rsid w:val="00237EC9"/>
    <w:rsid w:val="002615B4"/>
    <w:rsid w:val="002775FC"/>
    <w:rsid w:val="00296DE4"/>
    <w:rsid w:val="002A23FD"/>
    <w:rsid w:val="002D5B2D"/>
    <w:rsid w:val="003078F4"/>
    <w:rsid w:val="003209B1"/>
    <w:rsid w:val="0034099C"/>
    <w:rsid w:val="00351463"/>
    <w:rsid w:val="00377C2A"/>
    <w:rsid w:val="00385FC8"/>
    <w:rsid w:val="003919A5"/>
    <w:rsid w:val="003A4CE1"/>
    <w:rsid w:val="003C18BD"/>
    <w:rsid w:val="003C1EB0"/>
    <w:rsid w:val="003D6FE7"/>
    <w:rsid w:val="003D7F78"/>
    <w:rsid w:val="003E19CB"/>
    <w:rsid w:val="00440550"/>
    <w:rsid w:val="00462E1C"/>
    <w:rsid w:val="00466756"/>
    <w:rsid w:val="0046793D"/>
    <w:rsid w:val="004A7432"/>
    <w:rsid w:val="004E02AD"/>
    <w:rsid w:val="004E665E"/>
    <w:rsid w:val="00514BE0"/>
    <w:rsid w:val="00522E0A"/>
    <w:rsid w:val="00553E33"/>
    <w:rsid w:val="00557F6E"/>
    <w:rsid w:val="00572F35"/>
    <w:rsid w:val="00575CE0"/>
    <w:rsid w:val="005A66C5"/>
    <w:rsid w:val="005B0C1A"/>
    <w:rsid w:val="005D1EE5"/>
    <w:rsid w:val="00602359"/>
    <w:rsid w:val="00603B15"/>
    <w:rsid w:val="006316D0"/>
    <w:rsid w:val="00656957"/>
    <w:rsid w:val="0069725F"/>
    <w:rsid w:val="006B46E0"/>
    <w:rsid w:val="006B4B91"/>
    <w:rsid w:val="006C6002"/>
    <w:rsid w:val="006D02E3"/>
    <w:rsid w:val="006D4A5A"/>
    <w:rsid w:val="006F196D"/>
    <w:rsid w:val="00703B00"/>
    <w:rsid w:val="00706CAA"/>
    <w:rsid w:val="0071274C"/>
    <w:rsid w:val="007711AB"/>
    <w:rsid w:val="00791BD9"/>
    <w:rsid w:val="008613A3"/>
    <w:rsid w:val="00872632"/>
    <w:rsid w:val="008D0585"/>
    <w:rsid w:val="008D2474"/>
    <w:rsid w:val="0094117D"/>
    <w:rsid w:val="00945849"/>
    <w:rsid w:val="00992FD6"/>
    <w:rsid w:val="009C21EC"/>
    <w:rsid w:val="009E0ABF"/>
    <w:rsid w:val="009E6396"/>
    <w:rsid w:val="00A021F2"/>
    <w:rsid w:val="00A24556"/>
    <w:rsid w:val="00A319DE"/>
    <w:rsid w:val="00A42C72"/>
    <w:rsid w:val="00A725EC"/>
    <w:rsid w:val="00A83778"/>
    <w:rsid w:val="00A95FD9"/>
    <w:rsid w:val="00AA1748"/>
    <w:rsid w:val="00AD4565"/>
    <w:rsid w:val="00B20F80"/>
    <w:rsid w:val="00B21A56"/>
    <w:rsid w:val="00B30323"/>
    <w:rsid w:val="00B334AF"/>
    <w:rsid w:val="00B3353E"/>
    <w:rsid w:val="00B447AE"/>
    <w:rsid w:val="00B5638E"/>
    <w:rsid w:val="00B7106E"/>
    <w:rsid w:val="00B805FE"/>
    <w:rsid w:val="00BC3031"/>
    <w:rsid w:val="00BC46D0"/>
    <w:rsid w:val="00BD6BD1"/>
    <w:rsid w:val="00BE1DD2"/>
    <w:rsid w:val="00C22D7C"/>
    <w:rsid w:val="00C253B7"/>
    <w:rsid w:val="00C61D2C"/>
    <w:rsid w:val="00C73621"/>
    <w:rsid w:val="00C8731B"/>
    <w:rsid w:val="00C96505"/>
    <w:rsid w:val="00CB53BE"/>
    <w:rsid w:val="00D261BB"/>
    <w:rsid w:val="00D30EC6"/>
    <w:rsid w:val="00D502D6"/>
    <w:rsid w:val="00D676FD"/>
    <w:rsid w:val="00D82E5B"/>
    <w:rsid w:val="00D864AF"/>
    <w:rsid w:val="00D90C46"/>
    <w:rsid w:val="00D9720D"/>
    <w:rsid w:val="00DE3107"/>
    <w:rsid w:val="00E27195"/>
    <w:rsid w:val="00E60A5B"/>
    <w:rsid w:val="00E80A94"/>
    <w:rsid w:val="00E80C6E"/>
    <w:rsid w:val="00E85D3A"/>
    <w:rsid w:val="00EB3AC9"/>
    <w:rsid w:val="00EF0535"/>
    <w:rsid w:val="00EF0F29"/>
    <w:rsid w:val="00F009D4"/>
    <w:rsid w:val="00F032E9"/>
    <w:rsid w:val="00F03E7C"/>
    <w:rsid w:val="00F1116B"/>
    <w:rsid w:val="00F21306"/>
    <w:rsid w:val="00F50EB7"/>
    <w:rsid w:val="00F61BD6"/>
    <w:rsid w:val="00F72D2C"/>
    <w:rsid w:val="00F83640"/>
    <w:rsid w:val="00F950DC"/>
    <w:rsid w:val="00FD06D1"/>
    <w:rsid w:val="00FD2487"/>
    <w:rsid w:val="00FE7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F442"/>
  <w15:chartTrackingRefBased/>
  <w15:docId w15:val="{92F69A7E-F1A2-4D80-8C90-FC6F4EC3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33DF"/>
    <w:pPr>
      <w:spacing w:line="256" w:lineRule="auto"/>
    </w:pPr>
    <w:rPr>
      <w:kern w:val="0"/>
      <w14:ligatures w14:val="none"/>
    </w:rPr>
  </w:style>
  <w:style w:type="paragraph" w:styleId="Kop1">
    <w:name w:val="heading 1"/>
    <w:basedOn w:val="Standaard"/>
    <w:next w:val="Standaard"/>
    <w:link w:val="Kop1Char"/>
    <w:uiPriority w:val="9"/>
    <w:qFormat/>
    <w:rsid w:val="002033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3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33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33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33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3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3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3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3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33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33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33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33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33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3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3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3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33DF"/>
    <w:rPr>
      <w:rFonts w:eastAsiaTheme="majorEastAsia" w:cstheme="majorBidi"/>
      <w:color w:val="272727" w:themeColor="text1" w:themeTint="D8"/>
    </w:rPr>
  </w:style>
  <w:style w:type="paragraph" w:styleId="Titel">
    <w:name w:val="Title"/>
    <w:basedOn w:val="Standaard"/>
    <w:next w:val="Standaard"/>
    <w:link w:val="TitelChar"/>
    <w:uiPriority w:val="10"/>
    <w:qFormat/>
    <w:rsid w:val="00203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3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3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3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3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33DF"/>
    <w:rPr>
      <w:i/>
      <w:iCs/>
      <w:color w:val="404040" w:themeColor="text1" w:themeTint="BF"/>
    </w:rPr>
  </w:style>
  <w:style w:type="paragraph" w:styleId="Lijstalinea">
    <w:name w:val="List Paragraph"/>
    <w:basedOn w:val="Standaard"/>
    <w:uiPriority w:val="34"/>
    <w:qFormat/>
    <w:rsid w:val="002033DF"/>
    <w:pPr>
      <w:ind w:left="720"/>
      <w:contextualSpacing/>
    </w:pPr>
  </w:style>
  <w:style w:type="character" w:styleId="Intensievebenadrukking">
    <w:name w:val="Intense Emphasis"/>
    <w:basedOn w:val="Standaardalinea-lettertype"/>
    <w:uiPriority w:val="21"/>
    <w:qFormat/>
    <w:rsid w:val="002033DF"/>
    <w:rPr>
      <w:i/>
      <w:iCs/>
      <w:color w:val="2F5496" w:themeColor="accent1" w:themeShade="BF"/>
    </w:rPr>
  </w:style>
  <w:style w:type="paragraph" w:styleId="Duidelijkcitaat">
    <w:name w:val="Intense Quote"/>
    <w:basedOn w:val="Standaard"/>
    <w:next w:val="Standaard"/>
    <w:link w:val="DuidelijkcitaatChar"/>
    <w:uiPriority w:val="30"/>
    <w:qFormat/>
    <w:rsid w:val="00203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33DF"/>
    <w:rPr>
      <w:i/>
      <w:iCs/>
      <w:color w:val="2F5496" w:themeColor="accent1" w:themeShade="BF"/>
    </w:rPr>
  </w:style>
  <w:style w:type="character" w:styleId="Intensieveverwijzing">
    <w:name w:val="Intense Reference"/>
    <w:basedOn w:val="Standaardalinea-lettertype"/>
    <w:uiPriority w:val="32"/>
    <w:qFormat/>
    <w:rsid w:val="002033DF"/>
    <w:rPr>
      <w:b/>
      <w:bCs/>
      <w:smallCaps/>
      <w:color w:val="2F5496" w:themeColor="accent1" w:themeShade="BF"/>
      <w:spacing w:val="5"/>
    </w:rPr>
  </w:style>
  <w:style w:type="paragraph" w:styleId="Geenafstand">
    <w:name w:val="No Spacing"/>
    <w:uiPriority w:val="1"/>
    <w:qFormat/>
    <w:rsid w:val="002033DF"/>
    <w:pPr>
      <w:spacing w:after="0" w:line="240" w:lineRule="auto"/>
    </w:pPr>
    <w:rPr>
      <w:kern w:val="0"/>
      <w14:ligatures w14:val="none"/>
    </w:rPr>
  </w:style>
  <w:style w:type="character" w:styleId="Hyperlink">
    <w:name w:val="Hyperlink"/>
    <w:basedOn w:val="Standaardalinea-lettertype"/>
    <w:uiPriority w:val="99"/>
    <w:unhideWhenUsed/>
    <w:rsid w:val="002033DF"/>
    <w:rPr>
      <w:color w:val="0563C1" w:themeColor="hyperlink"/>
      <w:u w:val="single"/>
    </w:rPr>
  </w:style>
  <w:style w:type="character" w:styleId="Onopgelostemelding">
    <w:name w:val="Unresolved Mention"/>
    <w:basedOn w:val="Standaardalinea-lettertype"/>
    <w:uiPriority w:val="99"/>
    <w:semiHidden/>
    <w:unhideWhenUsed/>
    <w:rsid w:val="002033DF"/>
    <w:rPr>
      <w:color w:val="605E5C"/>
      <w:shd w:val="clear" w:color="auto" w:fill="E1DFDD"/>
    </w:rPr>
  </w:style>
  <w:style w:type="paragraph" w:styleId="Voetnoottekst">
    <w:name w:val="footnote text"/>
    <w:basedOn w:val="Standaard"/>
    <w:link w:val="VoetnoottekstChar"/>
    <w:uiPriority w:val="99"/>
    <w:semiHidden/>
    <w:unhideWhenUsed/>
    <w:rsid w:val="00D676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76FD"/>
    <w:rPr>
      <w:kern w:val="0"/>
      <w:sz w:val="20"/>
      <w:szCs w:val="20"/>
      <w14:ligatures w14:val="none"/>
    </w:rPr>
  </w:style>
  <w:style w:type="character" w:styleId="Voetnootmarkering">
    <w:name w:val="footnote reference"/>
    <w:basedOn w:val="Standaardalinea-lettertype"/>
    <w:uiPriority w:val="99"/>
    <w:semiHidden/>
    <w:unhideWhenUsed/>
    <w:rsid w:val="00D676FD"/>
    <w:rPr>
      <w:vertAlign w:val="superscript"/>
    </w:rPr>
  </w:style>
  <w:style w:type="paragraph" w:styleId="Normaalweb">
    <w:name w:val="Normal (Web)"/>
    <w:basedOn w:val="Standaard"/>
    <w:uiPriority w:val="99"/>
    <w:semiHidden/>
    <w:unhideWhenUsed/>
    <w:rsid w:val="00296DE4"/>
    <w:rPr>
      <w:rFonts w:ascii="Times New Roman" w:hAnsi="Times New Roman" w:cs="Times New Roman"/>
      <w:sz w:val="24"/>
      <w:szCs w:val="24"/>
    </w:rPr>
  </w:style>
  <w:style w:type="paragraph" w:customStyle="1" w:styleId="Default">
    <w:name w:val="Default"/>
    <w:rsid w:val="00F950DC"/>
    <w:pPr>
      <w:autoSpaceDE w:val="0"/>
      <w:autoSpaceDN w:val="0"/>
      <w:adjustRightInd w:val="0"/>
      <w:spacing w:after="0" w:line="240" w:lineRule="auto"/>
    </w:pPr>
    <w:rPr>
      <w:rFonts w:ascii="FlandersArtSans-Regular" w:hAnsi="FlandersArtSans-Regular" w:cs="FlandersArtSans-Regular"/>
      <w:color w:val="000000"/>
      <w:kern w:val="0"/>
      <w:sz w:val="24"/>
      <w:szCs w:val="24"/>
    </w:rPr>
  </w:style>
  <w:style w:type="character" w:styleId="GevolgdeHyperlink">
    <w:name w:val="FollowedHyperlink"/>
    <w:basedOn w:val="Standaardalinea-lettertype"/>
    <w:uiPriority w:val="99"/>
    <w:semiHidden/>
    <w:unhideWhenUsed/>
    <w:rsid w:val="00D97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vhn.nl/extra/Nieuwe-dreigingen-vanuit-extremistische-hoek-dierenactivisten.-LTO-vreest-voor-stalbezettingen-bij-boeren.-Hier-is-sprake-van-ophitsen-27851295.html" TargetMode="External"/><Relationship Id="rId13" Type="http://schemas.openxmlformats.org/officeDocument/2006/relationships/hyperlink" Target="https://www.bnnvara.nl/vroegevogels/artikelen/wakker-dier-waarschuwt-voor-hittestress-bij-kalveren" TargetMode="External"/><Relationship Id="rId18" Type="http://schemas.openxmlformats.org/officeDocument/2006/relationships/hyperlink" Target="https://www.animalrights.nl/kadaverboer-uit-speulde-had-de-verste-verte-geen-wolfwerend-raster" TargetMode="External"/><Relationship Id="rId3" Type="http://schemas.openxmlformats.org/officeDocument/2006/relationships/hyperlink" Target="https://www.autoriteitpersoonsgegevens.nl/sites/default/files/downloads/rs/rs_20090813_actieve_openbaarmaking.pdf" TargetMode="External"/><Relationship Id="rId21" Type="http://schemas.openxmlformats.org/officeDocument/2006/relationships/hyperlink" Target="https://www.lto.nl/woo-leidt-tot-toename-van-intimidatie-en-bedreiging/" TargetMode="External"/><Relationship Id="rId7" Type="http://schemas.openxmlformats.org/officeDocument/2006/relationships/hyperlink" Target="https://nos.nl/artikel/2573988-dierenactivisten-bezetten-drie-apeldoornse-slachthuizen" TargetMode="External"/><Relationship Id="rId12" Type="http://schemas.openxmlformats.org/officeDocument/2006/relationships/hyperlink" Target="https://www.animalrights.nl/update-konijnenbeelden" TargetMode="External"/><Relationship Id="rId17" Type="http://schemas.openxmlformats.org/officeDocument/2006/relationships/hyperlink" Target="https://www.animalrights.nl/animal-rights-brengt-de-%E2%80%98ruiming%E2%80%99-van-23000-kippen-beeld" TargetMode="External"/><Relationship Id="rId2" Type="http://schemas.openxmlformats.org/officeDocument/2006/relationships/hyperlink" Target="https://www.tweedekamer.nl/kamerstukken/kamervragen/detail?id=2025Z03481&amp;did=2025D11610" TargetMode="External"/><Relationship Id="rId16" Type="http://schemas.openxmlformats.org/officeDocument/2006/relationships/hyperlink" Target="https://www.animalrights.nl/jagers-mishandelen-eend-meer-dan-2-minuten-bij-ransdorp" TargetMode="External"/><Relationship Id="rId20" Type="http://schemas.openxmlformats.org/officeDocument/2006/relationships/hyperlink" Target="https://www.animalrights.nl/nvwa-houdt-dierenbeulen-van-veehandel-dane-en-zoon-de-hand-boven-het-hoofd" TargetMode="External"/><Relationship Id="rId1" Type="http://schemas.openxmlformats.org/officeDocument/2006/relationships/hyperlink" Target="https://rvs.rivm.nl/sites/default/files/2018-05/Richtsnoer%20E-PRTR.pdf" TargetMode="External"/><Relationship Id="rId6" Type="http://schemas.openxmlformats.org/officeDocument/2006/relationships/hyperlink" Target="https://www.trouw.nl/binnenland/gedeputeerde-harold-zoet-kreeg-bezoek-van-activisten-pap-steken-ze-nu-ook-onze-stal-in-de-fik~b142bb0c/" TargetMode="External"/><Relationship Id="rId11" Type="http://schemas.openxmlformats.org/officeDocument/2006/relationships/hyperlink" Target="https://www.anarchistischefederatie.nl/vegan-strike-group-bevrijdt-in-koningsweekend-108-legkippen-uit-een-megastal/" TargetMode="External"/><Relationship Id="rId5" Type="http://schemas.openxmlformats.org/officeDocument/2006/relationships/hyperlink" Target="https://www.noordhollandsdagblad.nl/regio/west-friesland/activisten-dreigen-met-nieuwe-branden-bij-kippenslachterijen/72082940.html" TargetMode="External"/><Relationship Id="rId15" Type="http://schemas.openxmlformats.org/officeDocument/2006/relationships/hyperlink" Target="https://www.animalrights.nl/eendenslachter-tomassen-duck-kiest-ipv-transparantie-voor-maatregelen-tegen-drones" TargetMode="External"/><Relationship Id="rId23" Type="http://schemas.openxmlformats.org/officeDocument/2006/relationships/hyperlink" Target="https://www.tweedekamer.nl/kamerstukken/plenaire_verslagen/detail/2024-2025/109" TargetMode="External"/><Relationship Id="rId10" Type="http://schemas.openxmlformats.org/officeDocument/2006/relationships/hyperlink" Target="https://www.hartvannederland.nl/nieuws/dieren/dierenactivisten-leggen-dode-biggen-bij-braziliaanse-ambassade-in-den-haag" TargetMode="External"/><Relationship Id="rId19" Type="http://schemas.openxmlformats.org/officeDocument/2006/relationships/hyperlink" Target="https://www.animalrights.nl/nederlandse-premiere-food-profit-documentaire-vergezeld-van-undercoverbeelden-uit-bbb-varkenstal" TargetMode="External"/><Relationship Id="rId4" Type="http://schemas.openxmlformats.org/officeDocument/2006/relationships/hyperlink" Target="https://www.nctv.nl/onderwerpen/dtn/documenten/publicaties/2022/04/21/infographic-dreigingsbeeld-terrorisme-nederland-56" TargetMode="External"/><Relationship Id="rId9" Type="http://schemas.openxmlformats.org/officeDocument/2006/relationships/hyperlink" Target="https://nos.nl/artikel/2410804-actiegroep-legt-dode-biggen-en-konijnen-op-straat" TargetMode="External"/><Relationship Id="rId14" Type="http://schemas.openxmlformats.org/officeDocument/2006/relationships/hyperlink" Target="https://www.animalrights.nl/nieuwe-beelden-eenden-worden-nog-altijd-mishandeld-tijdens-het-vangen-en-laden" TargetMode="External"/><Relationship Id="rId22" Type="http://schemas.openxmlformats.org/officeDocument/2006/relationships/hyperlink" Target="https://www.tweedekamer.nl/kamerstukken/plenaire_verslagen/detail/2024-2025/1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9AEB-7602-432A-BFA1-9D0005FB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7048</Words>
  <Characters>41235</Characters>
  <Application>Microsoft Office Word</Application>
  <DocSecurity>0</DocSecurity>
  <Lines>778</Lines>
  <Paragraphs>156</Paragraphs>
  <ScaleCrop>false</ScaleCrop>
  <HeadingPairs>
    <vt:vector size="2" baseType="variant">
      <vt:variant>
        <vt:lpstr>Titel</vt:lpstr>
      </vt:variant>
      <vt:variant>
        <vt:i4>1</vt:i4>
      </vt:variant>
    </vt:vector>
  </HeadingPairs>
  <TitlesOfParts>
    <vt:vector size="1" baseType="lpstr">
      <vt:lpstr/>
    </vt:vector>
  </TitlesOfParts>
  <Company>LTO Apps</Company>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Kostijn van Ginkel</dc:creator>
  <cp:keywords/>
  <dc:description/>
  <cp:lastModifiedBy>Chantal Linnemann</cp:lastModifiedBy>
  <cp:revision>3</cp:revision>
  <cp:lastPrinted>2025-08-04T13:53:00Z</cp:lastPrinted>
  <dcterms:created xsi:type="dcterms:W3CDTF">2026-02-23T12:43:00Z</dcterms:created>
  <dcterms:modified xsi:type="dcterms:W3CDTF">2026-02-23T12:44:00Z</dcterms:modified>
</cp:coreProperties>
</file>